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cs="黑体"/>
          <w:sz w:val="48"/>
          <w:szCs w:val="48"/>
        </w:rPr>
      </w:pPr>
      <w:r>
        <w:rPr>
          <w:rFonts w:hint="eastAsia" w:ascii="黑体" w:hAnsi="黑体" w:eastAsia="黑体" w:cs="黑体"/>
          <w:sz w:val="48"/>
          <w:szCs w:val="48"/>
        </w:rPr>
        <w:t>福建省高级人民法院关于2024年福建法院</w:t>
      </w:r>
      <w:r>
        <w:rPr>
          <w:rFonts w:hint="eastAsia" w:ascii="黑体" w:hAnsi="黑体" w:eastAsia="黑体" w:cs="黑体"/>
          <w:sz w:val="48"/>
          <w:szCs w:val="48"/>
          <w:lang w:eastAsia="zh-CN"/>
        </w:rPr>
        <w:t>法官助理</w:t>
      </w:r>
      <w:r>
        <w:rPr>
          <w:rFonts w:hint="eastAsia" w:ascii="黑体" w:hAnsi="黑体" w:eastAsia="黑体" w:cs="黑体"/>
          <w:sz w:val="48"/>
          <w:szCs w:val="48"/>
        </w:rPr>
        <w:t>技能竞赛项目有关服务</w:t>
      </w:r>
    </w:p>
    <w:p>
      <w:pPr>
        <w:jc w:val="center"/>
        <w:rPr>
          <w:rFonts w:ascii="黑体" w:hAnsi="黑体" w:eastAsia="黑体" w:cs="黑体"/>
          <w:sz w:val="48"/>
          <w:szCs w:val="48"/>
        </w:rPr>
      </w:pPr>
    </w:p>
    <w:p>
      <w:pPr>
        <w:jc w:val="center"/>
        <w:rPr>
          <w:rFonts w:ascii="黑体" w:hAnsi="黑体" w:eastAsia="黑体" w:cs="黑体"/>
          <w:sz w:val="48"/>
          <w:szCs w:val="48"/>
        </w:rPr>
      </w:pPr>
      <w:r>
        <w:rPr>
          <w:rFonts w:hint="eastAsia" w:ascii="黑体" w:hAnsi="黑体" w:eastAsia="黑体" w:cs="黑体"/>
          <w:sz w:val="48"/>
          <w:szCs w:val="48"/>
        </w:rPr>
        <w:t>询价文件</w:t>
      </w:r>
    </w:p>
    <w:p>
      <w:pPr>
        <w:jc w:val="center"/>
        <w:rPr>
          <w:rFonts w:ascii="黑体" w:eastAsia="黑体"/>
          <w:sz w:val="48"/>
          <w:szCs w:val="48"/>
        </w:rPr>
      </w:pPr>
    </w:p>
    <w:p>
      <w:pPr>
        <w:jc w:val="center"/>
        <w:rPr>
          <w:rFonts w:ascii="黑体" w:eastAsia="黑体"/>
          <w:sz w:val="44"/>
          <w:szCs w:val="44"/>
        </w:rPr>
      </w:pPr>
    </w:p>
    <w:p>
      <w:pPr>
        <w:jc w:val="center"/>
        <w:rPr>
          <w:rFonts w:ascii="黑体" w:eastAsia="黑体"/>
          <w:sz w:val="44"/>
          <w:szCs w:val="44"/>
        </w:rPr>
      </w:pPr>
    </w:p>
    <w:p>
      <w:pPr>
        <w:jc w:val="center"/>
        <w:rPr>
          <w:rFonts w:ascii="黑体" w:eastAsia="黑体"/>
          <w:sz w:val="44"/>
          <w:szCs w:val="44"/>
        </w:rPr>
      </w:pPr>
    </w:p>
    <w:p>
      <w:pPr>
        <w:jc w:val="center"/>
        <w:rPr>
          <w:rFonts w:ascii="黑体" w:eastAsia="黑体"/>
          <w:sz w:val="44"/>
          <w:szCs w:val="44"/>
        </w:rPr>
      </w:pPr>
    </w:p>
    <w:p>
      <w:pPr>
        <w:jc w:val="center"/>
        <w:rPr>
          <w:rFonts w:ascii="黑体" w:eastAsia="黑体"/>
          <w:sz w:val="44"/>
          <w:szCs w:val="44"/>
        </w:rPr>
      </w:pPr>
    </w:p>
    <w:p>
      <w:pPr>
        <w:jc w:val="center"/>
        <w:rPr>
          <w:rFonts w:ascii="黑体" w:eastAsia="黑体"/>
          <w:sz w:val="44"/>
          <w:szCs w:val="44"/>
        </w:rPr>
      </w:pPr>
    </w:p>
    <w:p>
      <w:pPr>
        <w:jc w:val="center"/>
        <w:rPr>
          <w:rFonts w:ascii="黑体" w:eastAsia="黑体"/>
          <w:sz w:val="44"/>
          <w:szCs w:val="44"/>
        </w:rPr>
      </w:pPr>
    </w:p>
    <w:p>
      <w:pPr>
        <w:jc w:val="center"/>
        <w:rPr>
          <w:rFonts w:ascii="黑体" w:eastAsia="黑体"/>
          <w:sz w:val="44"/>
          <w:szCs w:val="44"/>
        </w:rPr>
      </w:pPr>
    </w:p>
    <w:p>
      <w:pPr>
        <w:jc w:val="center"/>
        <w:rPr>
          <w:rFonts w:ascii="仿宋_GB2312" w:eastAsia="仿宋_GB2312"/>
          <w:sz w:val="44"/>
          <w:szCs w:val="44"/>
        </w:rPr>
      </w:pPr>
      <w:r>
        <w:rPr>
          <w:rFonts w:hint="eastAsia" w:ascii="仿宋_GB2312" w:eastAsia="仿宋_GB2312"/>
          <w:sz w:val="44"/>
          <w:szCs w:val="44"/>
        </w:rPr>
        <w:t>福建省高级人民法院</w:t>
      </w:r>
    </w:p>
    <w:p>
      <w:pPr>
        <w:jc w:val="center"/>
        <w:rPr>
          <w:rFonts w:ascii="仿宋_GB2312" w:eastAsia="仿宋_GB2312"/>
          <w:sz w:val="44"/>
          <w:szCs w:val="44"/>
        </w:rPr>
      </w:pPr>
      <w:r>
        <w:rPr>
          <w:rFonts w:hint="eastAsia" w:ascii="仿宋_GB2312" w:eastAsia="仿宋_GB2312"/>
          <w:sz w:val="44"/>
          <w:szCs w:val="44"/>
        </w:rPr>
        <w:t>2024年8月</w:t>
      </w:r>
    </w:p>
    <w:p>
      <w:pPr>
        <w:jc w:val="center"/>
        <w:rPr>
          <w:rFonts w:ascii="仿宋_GB2312" w:eastAsia="仿宋_GB2312"/>
          <w:sz w:val="32"/>
          <w:szCs w:val="32"/>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titlePg/>
          <w:docGrid w:type="lines" w:linePitch="312" w:charSpace="0"/>
        </w:sectPr>
      </w:pPr>
    </w:p>
    <w:p>
      <w:pPr>
        <w:jc w:val="center"/>
        <w:rPr>
          <w:rFonts w:ascii="黑体" w:eastAsia="黑体"/>
          <w:sz w:val="32"/>
          <w:szCs w:val="32"/>
        </w:rPr>
      </w:pPr>
      <w:r>
        <w:rPr>
          <w:rFonts w:hint="eastAsia" w:ascii="黑体" w:eastAsia="黑体"/>
          <w:sz w:val="32"/>
          <w:szCs w:val="32"/>
        </w:rPr>
        <w:t>目   录</w:t>
      </w:r>
    </w:p>
    <w:p>
      <w:pPr>
        <w:pStyle w:val="14"/>
        <w:tabs>
          <w:tab w:val="right" w:leader="dot" w:pos="8844"/>
        </w:tabs>
      </w:pPr>
      <w:r>
        <w:fldChar w:fldCharType="begin"/>
      </w:r>
      <w:r>
        <w:instrText xml:space="preserve"> TOC \o "1-3" \h \z \u </w:instrText>
      </w:r>
      <w:r>
        <w:fldChar w:fldCharType="separate"/>
      </w:r>
      <w:r>
        <w:fldChar w:fldCharType="begin"/>
      </w:r>
      <w:r>
        <w:instrText xml:space="preserve"> HYPERLINK \l "_Toc1889124305" </w:instrText>
      </w:r>
      <w:r>
        <w:fldChar w:fldCharType="separate"/>
      </w:r>
      <w:r>
        <w:rPr>
          <w:rFonts w:hint="eastAsia"/>
        </w:rPr>
        <w:t>第一章  招标邀请</w:t>
      </w:r>
      <w:r>
        <w:tab/>
      </w:r>
      <w:r>
        <w:fldChar w:fldCharType="begin"/>
      </w:r>
      <w:r>
        <w:instrText xml:space="preserve"> PAGEREF _Toc1889124305 </w:instrText>
      </w:r>
      <w:r>
        <w:fldChar w:fldCharType="separate"/>
      </w:r>
      <w:r>
        <w:t>3</w:t>
      </w:r>
      <w:r>
        <w:fldChar w:fldCharType="end"/>
      </w:r>
      <w:r>
        <w:fldChar w:fldCharType="end"/>
      </w:r>
    </w:p>
    <w:p>
      <w:pPr>
        <w:pStyle w:val="14"/>
        <w:tabs>
          <w:tab w:val="right" w:leader="dot" w:pos="8844"/>
        </w:tabs>
      </w:pPr>
      <w:r>
        <w:fldChar w:fldCharType="begin"/>
      </w:r>
      <w:r>
        <w:instrText xml:space="preserve"> HYPERLINK \l "_Toc331954632" </w:instrText>
      </w:r>
      <w:r>
        <w:fldChar w:fldCharType="separate"/>
      </w:r>
      <w:r>
        <w:rPr>
          <w:rFonts w:hint="eastAsia"/>
          <w:szCs w:val="28"/>
        </w:rPr>
        <w:t>第二章 投标须知</w:t>
      </w:r>
      <w:r>
        <w:tab/>
      </w:r>
      <w:r>
        <w:fldChar w:fldCharType="begin"/>
      </w:r>
      <w:r>
        <w:instrText xml:space="preserve"> PAGEREF _Toc331954632 </w:instrText>
      </w:r>
      <w:r>
        <w:fldChar w:fldCharType="separate"/>
      </w:r>
      <w:r>
        <w:t>5</w:t>
      </w:r>
      <w:r>
        <w:fldChar w:fldCharType="end"/>
      </w:r>
      <w:r>
        <w:fldChar w:fldCharType="end"/>
      </w:r>
    </w:p>
    <w:p>
      <w:pPr>
        <w:pStyle w:val="10"/>
        <w:tabs>
          <w:tab w:val="right" w:leader="dot" w:pos="8844"/>
        </w:tabs>
      </w:pPr>
      <w:r>
        <w:fldChar w:fldCharType="begin"/>
      </w:r>
      <w:r>
        <w:instrText xml:space="preserve"> HYPERLINK \l "_Toc1766936783" </w:instrText>
      </w:r>
      <w:r>
        <w:fldChar w:fldCharType="separate"/>
      </w:r>
      <w:r>
        <w:rPr>
          <w:rFonts w:hint="eastAsia" w:ascii="宋体" w:hAnsi="宋体"/>
          <w:szCs w:val="28"/>
        </w:rPr>
        <w:t>1、投标文件组成</w:t>
      </w:r>
      <w:r>
        <w:tab/>
      </w:r>
      <w:r>
        <w:fldChar w:fldCharType="begin"/>
      </w:r>
      <w:r>
        <w:instrText xml:space="preserve"> PAGEREF _Toc1766936783 </w:instrText>
      </w:r>
      <w:r>
        <w:fldChar w:fldCharType="separate"/>
      </w:r>
      <w:r>
        <w:t>5</w:t>
      </w:r>
      <w:r>
        <w:fldChar w:fldCharType="end"/>
      </w:r>
      <w:r>
        <w:fldChar w:fldCharType="end"/>
      </w:r>
    </w:p>
    <w:p>
      <w:pPr>
        <w:pStyle w:val="10"/>
        <w:tabs>
          <w:tab w:val="right" w:leader="dot" w:pos="8844"/>
        </w:tabs>
      </w:pPr>
      <w:r>
        <w:fldChar w:fldCharType="begin"/>
      </w:r>
      <w:r>
        <w:instrText xml:space="preserve"> HYPERLINK \l "_Toc866840977" </w:instrText>
      </w:r>
      <w:r>
        <w:fldChar w:fldCharType="separate"/>
      </w:r>
      <w:r>
        <w:rPr>
          <w:rFonts w:hint="eastAsia" w:ascii="宋体" w:hAnsi="宋体"/>
          <w:szCs w:val="28"/>
        </w:rPr>
        <w:t>2、投标要求</w:t>
      </w:r>
      <w:r>
        <w:tab/>
      </w:r>
      <w:r>
        <w:fldChar w:fldCharType="begin"/>
      </w:r>
      <w:r>
        <w:instrText xml:space="preserve"> PAGEREF _Toc866840977 </w:instrText>
      </w:r>
      <w:r>
        <w:fldChar w:fldCharType="separate"/>
      </w:r>
      <w:r>
        <w:t>5</w:t>
      </w:r>
      <w:r>
        <w:fldChar w:fldCharType="end"/>
      </w:r>
      <w:r>
        <w:fldChar w:fldCharType="end"/>
      </w:r>
    </w:p>
    <w:p>
      <w:pPr>
        <w:pStyle w:val="10"/>
        <w:tabs>
          <w:tab w:val="right" w:leader="dot" w:pos="8844"/>
        </w:tabs>
      </w:pPr>
      <w:r>
        <w:fldChar w:fldCharType="begin"/>
      </w:r>
      <w:r>
        <w:instrText xml:space="preserve"> HYPERLINK \l "_Toc1232716286" </w:instrText>
      </w:r>
      <w:r>
        <w:fldChar w:fldCharType="separate"/>
      </w:r>
      <w:r>
        <w:rPr>
          <w:rFonts w:hint="eastAsia" w:ascii="宋体" w:hAnsi="宋体"/>
          <w:szCs w:val="28"/>
        </w:rPr>
        <w:t>3、评标方法</w:t>
      </w:r>
      <w:r>
        <w:tab/>
      </w:r>
      <w:r>
        <w:fldChar w:fldCharType="begin"/>
      </w:r>
      <w:r>
        <w:instrText xml:space="preserve"> PAGEREF _Toc1232716286 </w:instrText>
      </w:r>
      <w:r>
        <w:fldChar w:fldCharType="separate"/>
      </w:r>
      <w:r>
        <w:t>5</w:t>
      </w:r>
      <w:r>
        <w:fldChar w:fldCharType="end"/>
      </w:r>
      <w:r>
        <w:fldChar w:fldCharType="end"/>
      </w:r>
    </w:p>
    <w:p>
      <w:pPr>
        <w:pStyle w:val="10"/>
        <w:tabs>
          <w:tab w:val="right" w:leader="dot" w:pos="8844"/>
        </w:tabs>
      </w:pPr>
      <w:r>
        <w:fldChar w:fldCharType="begin"/>
      </w:r>
      <w:r>
        <w:instrText xml:space="preserve"> HYPERLINK \l "_Toc349391510" </w:instrText>
      </w:r>
      <w:r>
        <w:fldChar w:fldCharType="separate"/>
      </w:r>
      <w:r>
        <w:rPr>
          <w:rFonts w:hint="eastAsia" w:ascii="宋体" w:hAnsi="宋体"/>
          <w:szCs w:val="28"/>
        </w:rPr>
        <w:t>4、开标</w:t>
      </w:r>
      <w:r>
        <w:tab/>
      </w:r>
      <w:r>
        <w:fldChar w:fldCharType="begin"/>
      </w:r>
      <w:r>
        <w:instrText xml:space="preserve"> PAGEREF _Toc349391510 </w:instrText>
      </w:r>
      <w:r>
        <w:fldChar w:fldCharType="separate"/>
      </w:r>
      <w:r>
        <w:t>6</w:t>
      </w:r>
      <w:r>
        <w:fldChar w:fldCharType="end"/>
      </w:r>
      <w:r>
        <w:fldChar w:fldCharType="end"/>
      </w:r>
    </w:p>
    <w:p>
      <w:pPr>
        <w:pStyle w:val="14"/>
        <w:tabs>
          <w:tab w:val="right" w:leader="dot" w:pos="8844"/>
        </w:tabs>
      </w:pPr>
      <w:r>
        <w:fldChar w:fldCharType="begin"/>
      </w:r>
      <w:r>
        <w:instrText xml:space="preserve"> HYPERLINK \l "_Toc1775358649" </w:instrText>
      </w:r>
      <w:r>
        <w:fldChar w:fldCharType="separate"/>
      </w:r>
      <w:r>
        <w:rPr>
          <w:rFonts w:hint="eastAsia"/>
        </w:rPr>
        <w:t>第三章 招标内容和要求</w:t>
      </w:r>
      <w:r>
        <w:tab/>
      </w:r>
      <w:r>
        <w:fldChar w:fldCharType="begin"/>
      </w:r>
      <w:r>
        <w:instrText xml:space="preserve"> PAGEREF _Toc1775358649 </w:instrText>
      </w:r>
      <w:r>
        <w:fldChar w:fldCharType="separate"/>
      </w:r>
      <w:r>
        <w:t>7</w:t>
      </w:r>
      <w:r>
        <w:fldChar w:fldCharType="end"/>
      </w:r>
      <w:r>
        <w:fldChar w:fldCharType="end"/>
      </w:r>
    </w:p>
    <w:p>
      <w:pPr>
        <w:pStyle w:val="15"/>
        <w:tabs>
          <w:tab w:val="right" w:leader="dot" w:pos="8844"/>
          <w:tab w:val="clear" w:pos="8834"/>
        </w:tabs>
      </w:pPr>
      <w:r>
        <w:rPr>
          <w:rFonts w:hint="eastAsia"/>
        </w:rPr>
        <w:t xml:space="preserve"> </w:t>
      </w:r>
      <w:r>
        <w:fldChar w:fldCharType="begin"/>
      </w:r>
      <w:r>
        <w:instrText xml:space="preserve"> HYPERLINK \l "_Toc557616994" </w:instrText>
      </w:r>
      <w:r>
        <w:fldChar w:fldCharType="separate"/>
      </w:r>
      <w:r>
        <w:rPr>
          <w:rFonts w:hint="eastAsia"/>
        </w:rPr>
        <w:t>1. 项目概况</w:t>
      </w:r>
      <w:r>
        <w:tab/>
      </w:r>
      <w:r>
        <w:fldChar w:fldCharType="begin"/>
      </w:r>
      <w:r>
        <w:instrText xml:space="preserve"> PAGEREF _Toc557616994 </w:instrText>
      </w:r>
      <w:r>
        <w:fldChar w:fldCharType="separate"/>
      </w:r>
      <w:r>
        <w:t>7</w:t>
      </w:r>
      <w:r>
        <w:fldChar w:fldCharType="end"/>
      </w:r>
      <w:r>
        <w:fldChar w:fldCharType="end"/>
      </w:r>
    </w:p>
    <w:p>
      <w:pPr>
        <w:pStyle w:val="15"/>
        <w:tabs>
          <w:tab w:val="right" w:leader="dot" w:pos="8844"/>
          <w:tab w:val="clear" w:pos="8834"/>
        </w:tabs>
      </w:pPr>
      <w:r>
        <w:rPr>
          <w:rFonts w:hint="eastAsia"/>
        </w:rPr>
        <w:t xml:space="preserve"> </w:t>
      </w:r>
      <w:r>
        <w:fldChar w:fldCharType="begin"/>
      </w:r>
      <w:r>
        <w:instrText xml:space="preserve"> HYPERLINK \l "_Toc1984943064" </w:instrText>
      </w:r>
      <w:r>
        <w:fldChar w:fldCharType="separate"/>
      </w:r>
      <w:r>
        <w:rPr>
          <w:rFonts w:hint="eastAsia"/>
        </w:rPr>
        <w:t>2.招标内容</w:t>
      </w:r>
      <w:r>
        <w:tab/>
      </w:r>
      <w:r>
        <w:fldChar w:fldCharType="begin"/>
      </w:r>
      <w:r>
        <w:instrText xml:space="preserve"> PAGEREF _Toc1984943064 </w:instrText>
      </w:r>
      <w:r>
        <w:fldChar w:fldCharType="separate"/>
      </w:r>
      <w:r>
        <w:t>7</w:t>
      </w:r>
      <w:r>
        <w:fldChar w:fldCharType="end"/>
      </w:r>
      <w:r>
        <w:fldChar w:fldCharType="end"/>
      </w:r>
    </w:p>
    <w:p>
      <w:pPr>
        <w:pStyle w:val="15"/>
        <w:tabs>
          <w:tab w:val="right" w:leader="dot" w:pos="8844"/>
          <w:tab w:val="clear" w:pos="8834"/>
        </w:tabs>
      </w:pPr>
      <w:r>
        <w:rPr>
          <w:rFonts w:hint="eastAsia"/>
        </w:rPr>
        <w:t xml:space="preserve"> </w:t>
      </w:r>
      <w:r>
        <w:fldChar w:fldCharType="begin"/>
      </w:r>
      <w:r>
        <w:instrText xml:space="preserve"> HYPERLINK \l "_Toc1483660720" </w:instrText>
      </w:r>
      <w:r>
        <w:fldChar w:fldCharType="separate"/>
      </w:r>
      <w:r>
        <w:rPr>
          <w:rFonts w:hint="eastAsia"/>
        </w:rPr>
        <w:t>3. 招标要求</w:t>
      </w:r>
      <w:r>
        <w:tab/>
      </w:r>
      <w:r>
        <w:fldChar w:fldCharType="begin"/>
      </w:r>
      <w:r>
        <w:instrText xml:space="preserve"> PAGEREF _Toc1483660720 </w:instrText>
      </w:r>
      <w:r>
        <w:fldChar w:fldCharType="separate"/>
      </w:r>
      <w:r>
        <w:t>9</w:t>
      </w:r>
      <w:r>
        <w:fldChar w:fldCharType="end"/>
      </w:r>
      <w:r>
        <w:fldChar w:fldCharType="end"/>
      </w:r>
    </w:p>
    <w:p>
      <w:pPr>
        <w:pStyle w:val="15"/>
        <w:tabs>
          <w:tab w:val="right" w:leader="dot" w:pos="8844"/>
          <w:tab w:val="clear" w:pos="8834"/>
        </w:tabs>
      </w:pPr>
      <w:r>
        <w:fldChar w:fldCharType="begin"/>
      </w:r>
      <w:r>
        <w:instrText xml:space="preserve"> HYPERLINK \l "_Toc1561304289" </w:instrText>
      </w:r>
      <w:r>
        <w:fldChar w:fldCharType="separate"/>
      </w:r>
      <w:r>
        <w:rPr>
          <w:rFonts w:hint="eastAsia"/>
        </w:rPr>
        <w:t>４.工期要求</w:t>
      </w:r>
      <w:r>
        <w:tab/>
      </w:r>
      <w:r>
        <w:fldChar w:fldCharType="begin"/>
      </w:r>
      <w:r>
        <w:instrText xml:space="preserve"> PAGEREF _Toc1561304289 </w:instrText>
      </w:r>
      <w:r>
        <w:fldChar w:fldCharType="separate"/>
      </w:r>
      <w:r>
        <w:t>11</w:t>
      </w:r>
      <w:r>
        <w:fldChar w:fldCharType="end"/>
      </w:r>
      <w:r>
        <w:fldChar w:fldCharType="end"/>
      </w:r>
    </w:p>
    <w:p>
      <w:pPr>
        <w:pStyle w:val="15"/>
        <w:tabs>
          <w:tab w:val="right" w:leader="dot" w:pos="8844"/>
          <w:tab w:val="clear" w:pos="8834"/>
        </w:tabs>
      </w:pPr>
      <w:r>
        <w:fldChar w:fldCharType="begin"/>
      </w:r>
      <w:r>
        <w:instrText xml:space="preserve"> HYPERLINK \l "_Toc545654422" </w:instrText>
      </w:r>
      <w:r>
        <w:fldChar w:fldCharType="separate"/>
      </w:r>
      <w:r>
        <w:rPr>
          <w:rFonts w:hint="eastAsia"/>
        </w:rPr>
        <w:t>５.付款条件</w:t>
      </w:r>
      <w:r>
        <w:tab/>
      </w:r>
      <w:r>
        <w:fldChar w:fldCharType="begin"/>
      </w:r>
      <w:r>
        <w:instrText xml:space="preserve"> PAGEREF _Toc545654422 </w:instrText>
      </w:r>
      <w:r>
        <w:fldChar w:fldCharType="separate"/>
      </w:r>
      <w:r>
        <w:t>11</w:t>
      </w:r>
      <w:r>
        <w:fldChar w:fldCharType="end"/>
      </w:r>
      <w:r>
        <w:fldChar w:fldCharType="end"/>
      </w:r>
    </w:p>
    <w:p>
      <w:pPr>
        <w:pStyle w:val="14"/>
        <w:tabs>
          <w:tab w:val="right" w:leader="dot" w:pos="8844"/>
        </w:tabs>
      </w:pPr>
      <w:r>
        <w:fldChar w:fldCharType="begin"/>
      </w:r>
      <w:r>
        <w:instrText xml:space="preserve"> HYPERLINK \l "_Toc484045782" </w:instrText>
      </w:r>
      <w:r>
        <w:fldChar w:fldCharType="separate"/>
      </w:r>
      <w:r>
        <w:rPr>
          <w:rFonts w:hint="eastAsia"/>
        </w:rPr>
        <w:t>第四章 投标文件封面及部分承诺格式</w:t>
      </w:r>
      <w:r>
        <w:tab/>
      </w:r>
      <w:r>
        <w:fldChar w:fldCharType="begin"/>
      </w:r>
      <w:r>
        <w:instrText xml:space="preserve"> PAGEREF _Toc484045782 </w:instrText>
      </w:r>
      <w:r>
        <w:fldChar w:fldCharType="separate"/>
      </w:r>
      <w:r>
        <w:t>12</w:t>
      </w:r>
      <w:r>
        <w:fldChar w:fldCharType="end"/>
      </w:r>
      <w:r>
        <w:fldChar w:fldCharType="end"/>
      </w:r>
    </w:p>
    <w:p>
      <w:pPr>
        <w:pStyle w:val="15"/>
        <w:tabs>
          <w:tab w:val="right" w:leader="dot" w:pos="8844"/>
          <w:tab w:val="clear" w:pos="8834"/>
        </w:tabs>
      </w:pPr>
      <w:r>
        <w:fldChar w:fldCharType="begin"/>
      </w:r>
      <w:r>
        <w:instrText xml:space="preserve"> HYPERLINK \l "_Toc522321916" </w:instrText>
      </w:r>
      <w:r>
        <w:fldChar w:fldCharType="separate"/>
      </w:r>
      <w:r>
        <w:rPr>
          <w:rFonts w:hint="eastAsia"/>
        </w:rPr>
        <w:t>福建省高级人民法院关于2024年福建法院</w:t>
      </w:r>
      <w:r>
        <w:rPr>
          <w:rFonts w:hint="eastAsia"/>
          <w:lang w:eastAsia="zh-CN"/>
        </w:rPr>
        <w:t>法官助理</w:t>
      </w:r>
      <w:r>
        <w:rPr>
          <w:rFonts w:hint="eastAsia"/>
        </w:rPr>
        <w:t>技能竞赛项目</w:t>
      </w:r>
      <w:r>
        <w:rPr>
          <w:rFonts w:hint="eastAsia" w:ascii="Arial" w:eastAsia="黑体"/>
          <w:szCs w:val="32"/>
        </w:rPr>
        <w:t>报价表</w:t>
      </w:r>
      <w:r>
        <w:tab/>
      </w:r>
      <w:r>
        <w:fldChar w:fldCharType="begin"/>
      </w:r>
      <w:r>
        <w:instrText xml:space="preserve"> PAGEREF _Toc522321916 </w:instrText>
      </w:r>
      <w:r>
        <w:fldChar w:fldCharType="separate"/>
      </w:r>
      <w:r>
        <w:t>13</w:t>
      </w:r>
      <w:r>
        <w:fldChar w:fldCharType="end"/>
      </w:r>
      <w:r>
        <w:fldChar w:fldCharType="end"/>
      </w:r>
    </w:p>
    <w:p>
      <w:pPr>
        <w:pStyle w:val="15"/>
        <w:tabs>
          <w:tab w:val="right" w:leader="dot" w:pos="8844"/>
          <w:tab w:val="clear" w:pos="8834"/>
        </w:tabs>
      </w:pPr>
      <w:r>
        <w:fldChar w:fldCharType="begin"/>
      </w:r>
      <w:r>
        <w:instrText xml:space="preserve"> HYPERLINK \l "_Toc6635834" </w:instrText>
      </w:r>
      <w:r>
        <w:fldChar w:fldCharType="separate"/>
      </w:r>
      <w:r>
        <w:rPr>
          <w:rFonts w:hint="eastAsia"/>
        </w:rPr>
        <w:t>投标符合性承诺书</w:t>
      </w:r>
      <w:r>
        <w:tab/>
      </w:r>
      <w:r>
        <w:fldChar w:fldCharType="begin"/>
      </w:r>
      <w:r>
        <w:instrText xml:space="preserve"> PAGEREF _Toc6635834 </w:instrText>
      </w:r>
      <w:r>
        <w:fldChar w:fldCharType="separate"/>
      </w:r>
      <w:r>
        <w:t>13</w:t>
      </w:r>
      <w:r>
        <w:fldChar w:fldCharType="end"/>
      </w:r>
      <w:r>
        <w:fldChar w:fldCharType="end"/>
      </w:r>
    </w:p>
    <w:p>
      <w:pPr>
        <w:pStyle w:val="15"/>
        <w:tabs>
          <w:tab w:val="right" w:leader="dot" w:pos="8844"/>
          <w:tab w:val="clear" w:pos="8834"/>
        </w:tabs>
      </w:pPr>
      <w:r>
        <w:fldChar w:fldCharType="begin"/>
      </w:r>
      <w:r>
        <w:instrText xml:space="preserve"> HYPERLINK \l "_Toc1159993662" </w:instrText>
      </w:r>
      <w:r>
        <w:fldChar w:fldCharType="separate"/>
      </w:r>
      <w:r>
        <w:rPr>
          <w:rFonts w:hint="eastAsia" w:ascii="Arial" w:hAnsi="Arial" w:eastAsia="黑体"/>
          <w:szCs w:val="32"/>
        </w:rPr>
        <w:t>投标人须提供的资格证明文件</w:t>
      </w:r>
      <w:r>
        <w:tab/>
      </w:r>
      <w:r>
        <w:fldChar w:fldCharType="begin"/>
      </w:r>
      <w:r>
        <w:instrText xml:space="preserve"> PAGEREF _Toc1159993662 </w:instrText>
      </w:r>
      <w:r>
        <w:fldChar w:fldCharType="separate"/>
      </w:r>
      <w:r>
        <w:t>15</w:t>
      </w:r>
      <w:r>
        <w:fldChar w:fldCharType="end"/>
      </w:r>
      <w:r>
        <w:fldChar w:fldCharType="end"/>
      </w:r>
    </w:p>
    <w:p>
      <w:pPr>
        <w:pStyle w:val="4"/>
        <w:spacing w:line="240" w:lineRule="auto"/>
        <w:jc w:val="center"/>
      </w:pPr>
      <w:r>
        <w:fldChar w:fldCharType="end"/>
      </w:r>
      <w:bookmarkStart w:id="0" w:name="_Toc1889124305"/>
      <w:bookmarkStart w:id="1" w:name="_Toc26151"/>
      <w:bookmarkStart w:id="2" w:name="_Toc2142296125"/>
      <w:bookmarkStart w:id="3" w:name="_Toc900270054"/>
      <w:bookmarkStart w:id="4" w:name="_Toc675947880"/>
      <w:r>
        <w:br w:type="page"/>
      </w:r>
      <w:r>
        <w:rPr>
          <w:rFonts w:hint="eastAsia"/>
        </w:rPr>
        <w:t>第一章  招标邀请</w:t>
      </w:r>
      <w:bookmarkEnd w:id="0"/>
      <w:bookmarkEnd w:id="1"/>
      <w:bookmarkEnd w:id="2"/>
      <w:bookmarkEnd w:id="3"/>
      <w:bookmarkEnd w:id="4"/>
    </w:p>
    <w:p>
      <w:pPr>
        <w:widowControl/>
        <w:ind w:firstLine="560" w:firstLineChars="200"/>
        <w:rPr>
          <w:rFonts w:ascii="宋体" w:hAnsi="宋体"/>
          <w:sz w:val="28"/>
          <w:szCs w:val="28"/>
        </w:rPr>
      </w:pPr>
      <w:r>
        <w:rPr>
          <w:rFonts w:hint="eastAsia" w:ascii="宋体" w:hAnsi="宋体"/>
          <w:sz w:val="28"/>
          <w:szCs w:val="28"/>
        </w:rPr>
        <w:t>根据工作需要，我院需开展2024年福建法院</w:t>
      </w:r>
      <w:r>
        <w:rPr>
          <w:rFonts w:hint="eastAsia" w:ascii="宋体" w:hAnsi="宋体"/>
          <w:sz w:val="28"/>
          <w:szCs w:val="28"/>
          <w:lang w:eastAsia="zh-CN"/>
        </w:rPr>
        <w:t>法官助理</w:t>
      </w:r>
      <w:r>
        <w:rPr>
          <w:rFonts w:hint="eastAsia" w:ascii="宋体" w:hAnsi="宋体"/>
          <w:sz w:val="28"/>
          <w:szCs w:val="28"/>
        </w:rPr>
        <w:t>技能竞赛工作，现对该项目有关服务进行询价采购，欢迎国内合格投标人前来报价，以择优确定服务供应商。</w:t>
      </w:r>
    </w:p>
    <w:p>
      <w:pPr>
        <w:widowControl/>
        <w:ind w:firstLine="562" w:firstLineChars="200"/>
        <w:rPr>
          <w:rFonts w:ascii="宋体" w:hAnsi="宋体"/>
          <w:b/>
          <w:bCs/>
          <w:sz w:val="28"/>
          <w:szCs w:val="28"/>
        </w:rPr>
      </w:pPr>
      <w:r>
        <w:rPr>
          <w:rFonts w:hint="eastAsia" w:ascii="宋体" w:hAnsi="宋体"/>
          <w:b/>
          <w:bCs/>
          <w:sz w:val="28"/>
          <w:szCs w:val="28"/>
        </w:rPr>
        <w:t>1．项目概况和招标范围</w:t>
      </w:r>
    </w:p>
    <w:p>
      <w:pPr>
        <w:ind w:firstLine="560" w:firstLineChars="200"/>
        <w:rPr>
          <w:rFonts w:ascii="仿宋_GB2312" w:hAnsi="仿宋_GB2312" w:eastAsia="仿宋_GB2312" w:cs="仿宋_GB2312"/>
          <w:sz w:val="32"/>
          <w:szCs w:val="32"/>
        </w:rPr>
      </w:pPr>
      <w:r>
        <w:rPr>
          <w:rFonts w:hint="eastAsia" w:ascii="宋体" w:hAnsi="宋体"/>
          <w:sz w:val="28"/>
          <w:szCs w:val="28"/>
        </w:rPr>
        <w:t>1.1 项目名称：</w:t>
      </w:r>
      <w:r>
        <w:rPr>
          <w:rFonts w:hint="eastAsia" w:ascii="宋体" w:hAnsi="宋体" w:cs="宋体-18030"/>
          <w:sz w:val="28"/>
          <w:szCs w:val="28"/>
          <w:u w:val="single"/>
        </w:rPr>
        <w:t>福建省高级人民法院关于2024年福建法院</w:t>
      </w:r>
      <w:r>
        <w:rPr>
          <w:rFonts w:hint="eastAsia" w:ascii="宋体" w:hAnsi="宋体" w:cs="宋体-18030"/>
          <w:sz w:val="28"/>
          <w:szCs w:val="28"/>
          <w:u w:val="single"/>
          <w:lang w:eastAsia="zh-CN"/>
        </w:rPr>
        <w:t>法官助理</w:t>
      </w:r>
      <w:r>
        <w:rPr>
          <w:rFonts w:hint="eastAsia" w:ascii="宋体" w:hAnsi="宋体" w:cs="宋体-18030"/>
          <w:sz w:val="28"/>
          <w:szCs w:val="28"/>
          <w:u w:val="single"/>
        </w:rPr>
        <w:t>技能竞赛服务项目</w:t>
      </w:r>
    </w:p>
    <w:p>
      <w:pPr>
        <w:widowControl/>
        <w:ind w:firstLine="560" w:firstLineChars="200"/>
        <w:rPr>
          <w:rFonts w:ascii="宋体" w:hAnsi="宋体"/>
          <w:sz w:val="28"/>
          <w:szCs w:val="28"/>
        </w:rPr>
      </w:pPr>
      <w:r>
        <w:rPr>
          <w:rFonts w:hint="eastAsia" w:ascii="宋体" w:hAnsi="宋体"/>
          <w:sz w:val="28"/>
          <w:szCs w:val="28"/>
        </w:rPr>
        <w:t>1.2 实施地点：</w:t>
      </w:r>
      <w:r>
        <w:rPr>
          <w:rFonts w:hint="eastAsia" w:ascii="宋体" w:hAnsi="宋体" w:cs="宋体-18030"/>
          <w:sz w:val="28"/>
          <w:szCs w:val="28"/>
          <w:u w:val="single"/>
        </w:rPr>
        <w:t>福建省福州市鼓楼区西二环北路58号福建省高级人民法院</w:t>
      </w:r>
    </w:p>
    <w:p>
      <w:pPr>
        <w:widowControl/>
        <w:ind w:firstLine="560" w:firstLineChars="200"/>
        <w:rPr>
          <w:rFonts w:ascii="宋体" w:hAnsi="宋体" w:cs="宋体-18030"/>
          <w:sz w:val="28"/>
          <w:szCs w:val="28"/>
        </w:rPr>
      </w:pPr>
      <w:r>
        <w:rPr>
          <w:rFonts w:hint="eastAsia" w:ascii="宋体" w:hAnsi="宋体"/>
          <w:sz w:val="28"/>
          <w:szCs w:val="28"/>
        </w:rPr>
        <w:t>1.3 招标范围和内容：</w:t>
      </w:r>
      <w:r>
        <w:rPr>
          <w:rFonts w:hint="eastAsia" w:ascii="宋体" w:hAnsi="宋体" w:cs="宋体-18030"/>
          <w:sz w:val="28"/>
          <w:szCs w:val="28"/>
        </w:rPr>
        <w:t>具体要求详见</w:t>
      </w:r>
      <w:r>
        <w:rPr>
          <w:rFonts w:hint="eastAsia" w:ascii="宋体" w:hAnsi="宋体"/>
          <w:sz w:val="28"/>
          <w:szCs w:val="28"/>
        </w:rPr>
        <w:t>采购文件第三章“采购内容及技术要求”</w:t>
      </w:r>
      <w:r>
        <w:rPr>
          <w:rFonts w:hint="eastAsia" w:ascii="宋体" w:hAnsi="宋体" w:cs="宋体-18030"/>
          <w:sz w:val="28"/>
          <w:szCs w:val="28"/>
        </w:rPr>
        <w:t>。</w:t>
      </w:r>
    </w:p>
    <w:tbl>
      <w:tblPr>
        <w:tblStyle w:val="21"/>
        <w:tblW w:w="947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1620"/>
        <w:gridCol w:w="2880"/>
        <w:gridCol w:w="1080"/>
        <w:gridCol w:w="31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66" w:type="dxa"/>
            <w:vAlign w:val="center"/>
          </w:tcPr>
          <w:p>
            <w:pPr>
              <w:widowControl/>
              <w:jc w:val="center"/>
              <w:rPr>
                <w:rFonts w:ascii="宋体" w:hAnsi="宋体" w:cs="宋体-18030"/>
                <w:sz w:val="28"/>
                <w:szCs w:val="28"/>
              </w:rPr>
            </w:pPr>
            <w:r>
              <w:rPr>
                <w:rFonts w:hint="eastAsia" w:ascii="宋体" w:hAnsi="宋体" w:cs="宋体-18030"/>
                <w:sz w:val="28"/>
                <w:szCs w:val="28"/>
              </w:rPr>
              <w:t>合同包</w:t>
            </w:r>
          </w:p>
        </w:tc>
        <w:tc>
          <w:tcPr>
            <w:tcW w:w="1620" w:type="dxa"/>
            <w:vAlign w:val="center"/>
          </w:tcPr>
          <w:p>
            <w:pPr>
              <w:widowControl/>
              <w:jc w:val="center"/>
              <w:rPr>
                <w:rFonts w:ascii="宋体" w:hAnsi="宋体" w:cs="宋体-18030"/>
                <w:sz w:val="28"/>
                <w:szCs w:val="28"/>
              </w:rPr>
            </w:pPr>
            <w:r>
              <w:rPr>
                <w:rFonts w:hint="eastAsia" w:ascii="宋体" w:hAnsi="宋体" w:cs="宋体-18030"/>
                <w:sz w:val="28"/>
                <w:szCs w:val="28"/>
              </w:rPr>
              <w:t>货物和服务</w:t>
            </w:r>
          </w:p>
          <w:p>
            <w:pPr>
              <w:widowControl/>
              <w:jc w:val="center"/>
              <w:rPr>
                <w:rFonts w:ascii="宋体" w:hAnsi="宋体" w:cs="宋体-18030"/>
                <w:sz w:val="28"/>
                <w:szCs w:val="28"/>
              </w:rPr>
            </w:pPr>
            <w:r>
              <w:rPr>
                <w:rFonts w:hint="eastAsia" w:ascii="宋体" w:hAnsi="宋体" w:cs="宋体-18030"/>
                <w:sz w:val="28"/>
                <w:szCs w:val="28"/>
              </w:rPr>
              <w:t>名称</w:t>
            </w:r>
          </w:p>
        </w:tc>
        <w:tc>
          <w:tcPr>
            <w:tcW w:w="2880" w:type="dxa"/>
            <w:vAlign w:val="center"/>
          </w:tcPr>
          <w:p>
            <w:pPr>
              <w:widowControl/>
              <w:jc w:val="center"/>
              <w:rPr>
                <w:rFonts w:ascii="宋体" w:hAnsi="宋体" w:cs="宋体-18030"/>
                <w:sz w:val="28"/>
                <w:szCs w:val="28"/>
              </w:rPr>
            </w:pPr>
            <w:r>
              <w:rPr>
                <w:rFonts w:hint="eastAsia" w:ascii="宋体" w:hAnsi="宋体" w:cs="宋体-18030"/>
                <w:sz w:val="28"/>
                <w:szCs w:val="28"/>
              </w:rPr>
              <w:t>主要技术指标及要求</w:t>
            </w:r>
          </w:p>
        </w:tc>
        <w:tc>
          <w:tcPr>
            <w:tcW w:w="1080" w:type="dxa"/>
            <w:vAlign w:val="center"/>
          </w:tcPr>
          <w:p>
            <w:pPr>
              <w:widowControl/>
              <w:jc w:val="center"/>
              <w:rPr>
                <w:rFonts w:ascii="宋体" w:hAnsi="宋体" w:cs="宋体-18030"/>
                <w:sz w:val="28"/>
                <w:szCs w:val="28"/>
              </w:rPr>
            </w:pPr>
            <w:r>
              <w:rPr>
                <w:rFonts w:hint="eastAsia" w:ascii="宋体" w:hAnsi="宋体" w:cs="宋体-18030"/>
                <w:sz w:val="28"/>
                <w:szCs w:val="28"/>
              </w:rPr>
              <w:t>预算价（万元）</w:t>
            </w:r>
          </w:p>
        </w:tc>
        <w:tc>
          <w:tcPr>
            <w:tcW w:w="3132" w:type="dxa"/>
            <w:vAlign w:val="center"/>
          </w:tcPr>
          <w:p>
            <w:pPr>
              <w:widowControl/>
              <w:jc w:val="center"/>
              <w:rPr>
                <w:rFonts w:ascii="宋体" w:hAnsi="宋体" w:cs="宋体-18030"/>
                <w:sz w:val="28"/>
                <w:szCs w:val="28"/>
              </w:rPr>
            </w:pPr>
            <w:r>
              <w:rPr>
                <w:rFonts w:hint="eastAsia" w:ascii="宋体" w:hAnsi="宋体" w:cs="宋体-18030"/>
                <w:sz w:val="28"/>
                <w:szCs w:val="28"/>
              </w:rPr>
              <w:t>项目完成时间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66" w:type="dxa"/>
            <w:vAlign w:val="center"/>
          </w:tcPr>
          <w:p>
            <w:pPr>
              <w:widowControl/>
              <w:jc w:val="center"/>
              <w:rPr>
                <w:rFonts w:ascii="宋体" w:hAnsi="宋体" w:cs="宋体-18030"/>
                <w:sz w:val="28"/>
                <w:szCs w:val="28"/>
              </w:rPr>
            </w:pPr>
            <w:r>
              <w:rPr>
                <w:rFonts w:hint="eastAsia" w:ascii="宋体" w:hAnsi="宋体" w:cs="宋体-18030"/>
                <w:sz w:val="28"/>
                <w:szCs w:val="28"/>
              </w:rPr>
              <w:t>1</w:t>
            </w:r>
          </w:p>
        </w:tc>
        <w:tc>
          <w:tcPr>
            <w:tcW w:w="1620" w:type="dxa"/>
            <w:vAlign w:val="center"/>
          </w:tcPr>
          <w:p>
            <w:pPr>
              <w:widowControl/>
              <w:ind w:firstLine="280" w:firstLineChars="100"/>
              <w:rPr>
                <w:rFonts w:ascii="宋体" w:hAnsi="宋体" w:cs="宋体-18030"/>
                <w:sz w:val="28"/>
                <w:szCs w:val="28"/>
              </w:rPr>
            </w:pPr>
            <w:r>
              <w:rPr>
                <w:rFonts w:hint="eastAsia" w:ascii="宋体" w:hAnsi="宋体" w:cs="宋体-18030"/>
                <w:sz w:val="28"/>
                <w:szCs w:val="28"/>
              </w:rPr>
              <w:t>2024年福建法院</w:t>
            </w:r>
            <w:r>
              <w:rPr>
                <w:rFonts w:hint="eastAsia" w:ascii="宋体" w:hAnsi="宋体" w:cs="宋体-18030"/>
                <w:sz w:val="28"/>
                <w:szCs w:val="28"/>
                <w:lang w:eastAsia="zh-CN"/>
              </w:rPr>
              <w:t>法官助理</w:t>
            </w:r>
            <w:r>
              <w:rPr>
                <w:rFonts w:hint="eastAsia" w:ascii="宋体" w:hAnsi="宋体" w:cs="宋体-18030"/>
                <w:sz w:val="28"/>
                <w:szCs w:val="28"/>
              </w:rPr>
              <w:t>技能竞赛服务项目</w:t>
            </w:r>
          </w:p>
        </w:tc>
        <w:tc>
          <w:tcPr>
            <w:tcW w:w="2880" w:type="dxa"/>
            <w:vAlign w:val="center"/>
          </w:tcPr>
          <w:p>
            <w:pPr>
              <w:widowControl/>
              <w:rPr>
                <w:rFonts w:ascii="宋体" w:hAnsi="宋体" w:cs="宋体-18030"/>
                <w:sz w:val="28"/>
                <w:szCs w:val="28"/>
              </w:rPr>
            </w:pPr>
            <w:r>
              <w:rPr>
                <w:rFonts w:hint="eastAsia" w:ascii="宋体" w:hAnsi="宋体" w:cs="宋体-18030"/>
                <w:sz w:val="28"/>
                <w:szCs w:val="28"/>
              </w:rPr>
              <w:t>详见第三章</w:t>
            </w:r>
          </w:p>
        </w:tc>
        <w:tc>
          <w:tcPr>
            <w:tcW w:w="1080" w:type="dxa"/>
            <w:vAlign w:val="center"/>
          </w:tcPr>
          <w:p>
            <w:pPr>
              <w:widowControl/>
              <w:rPr>
                <w:rFonts w:hint="eastAsia" w:ascii="宋体" w:hAnsi="宋体" w:cs="宋体-18030"/>
                <w:sz w:val="28"/>
                <w:szCs w:val="28"/>
              </w:rPr>
            </w:pPr>
            <w:r>
              <w:rPr>
                <w:rFonts w:hint="eastAsia" w:ascii="宋体" w:hAnsi="宋体" w:cs="宋体-18030"/>
                <w:sz w:val="28"/>
                <w:szCs w:val="28"/>
              </w:rPr>
              <w:t>11.655</w:t>
            </w:r>
          </w:p>
        </w:tc>
        <w:tc>
          <w:tcPr>
            <w:tcW w:w="3132" w:type="dxa"/>
            <w:vAlign w:val="center"/>
          </w:tcPr>
          <w:p>
            <w:pPr>
              <w:widowControl/>
              <w:rPr>
                <w:rFonts w:hint="eastAsia" w:ascii="宋体" w:hAnsi="宋体" w:cs="宋体-18030"/>
                <w:sz w:val="28"/>
                <w:szCs w:val="28"/>
              </w:rPr>
            </w:pPr>
            <w:r>
              <w:rPr>
                <w:rFonts w:hint="eastAsia" w:ascii="宋体" w:hAnsi="宋体" w:eastAsia="宋体" w:cs="宋体-18030"/>
                <w:sz w:val="28"/>
                <w:szCs w:val="28"/>
                <w:lang w:eastAsia="zh-CN"/>
              </w:rPr>
              <w:t>合同签订后</w:t>
            </w:r>
            <w:r>
              <w:rPr>
                <w:rFonts w:hint="eastAsia" w:ascii="宋体" w:hAnsi="宋体" w:eastAsia="宋体" w:cs="宋体-18030"/>
                <w:sz w:val="28"/>
                <w:szCs w:val="28"/>
                <w:lang w:val="en-US" w:eastAsia="zh-CN"/>
              </w:rPr>
              <w:t>3个月内</w:t>
            </w:r>
            <w:r>
              <w:rPr>
                <w:rFonts w:hint="eastAsia" w:ascii="宋体" w:hAnsi="宋体" w:eastAsia="宋体" w:cs="宋体-18030"/>
                <w:sz w:val="28"/>
                <w:szCs w:val="28"/>
              </w:rPr>
              <w:t>完</w:t>
            </w:r>
            <w:r>
              <w:rPr>
                <w:rFonts w:hint="eastAsia" w:ascii="宋体" w:hAnsi="宋体" w:eastAsia="宋体" w:cs="宋体-18030"/>
                <w:sz w:val="28"/>
                <w:szCs w:val="28"/>
                <w:lang w:eastAsia="zh-CN"/>
              </w:rPr>
              <w:t>成服务项目</w:t>
            </w:r>
            <w:r>
              <w:rPr>
                <w:rFonts w:hint="eastAsia" w:ascii="宋体" w:hAnsi="宋体" w:eastAsia="宋体" w:cs="宋体-18030"/>
                <w:sz w:val="28"/>
                <w:szCs w:val="28"/>
              </w:rPr>
              <w:t>，</w:t>
            </w:r>
            <w:r>
              <w:rPr>
                <w:rFonts w:hint="eastAsia" w:ascii="宋体" w:hAnsi="宋体" w:cs="宋体-18030"/>
                <w:sz w:val="28"/>
                <w:szCs w:val="28"/>
              </w:rPr>
              <w:t>具体完成时间以采购人实际要求为准。</w:t>
            </w:r>
          </w:p>
        </w:tc>
      </w:tr>
    </w:tbl>
    <w:p>
      <w:pPr>
        <w:widowControl/>
        <w:ind w:firstLine="560" w:firstLineChars="200"/>
        <w:rPr>
          <w:rFonts w:ascii="宋体" w:hAnsi="宋体"/>
          <w:bCs/>
          <w:sz w:val="28"/>
          <w:szCs w:val="28"/>
        </w:rPr>
      </w:pPr>
      <w:r>
        <w:rPr>
          <w:rFonts w:hint="eastAsia" w:ascii="宋体" w:hAnsi="宋体"/>
          <w:bCs/>
          <w:sz w:val="28"/>
          <w:szCs w:val="28"/>
        </w:rPr>
        <w:t>1.4 预算价作为最高限价，超过最高限价的投标视为无效投标。</w:t>
      </w:r>
    </w:p>
    <w:p>
      <w:pPr>
        <w:widowControl/>
        <w:ind w:firstLine="562" w:firstLineChars="200"/>
        <w:rPr>
          <w:rFonts w:ascii="宋体" w:hAnsi="宋体"/>
          <w:b/>
          <w:bCs/>
          <w:sz w:val="28"/>
          <w:szCs w:val="28"/>
        </w:rPr>
      </w:pPr>
      <w:r>
        <w:rPr>
          <w:rFonts w:hint="eastAsia" w:ascii="宋体" w:hAnsi="宋体"/>
          <w:b/>
          <w:bCs/>
          <w:sz w:val="28"/>
          <w:szCs w:val="28"/>
        </w:rPr>
        <w:t>2.投标人资格要求及审查办法</w:t>
      </w:r>
    </w:p>
    <w:p>
      <w:pPr>
        <w:snapToGrid w:val="0"/>
        <w:ind w:firstLine="560" w:firstLineChars="200"/>
        <w:rPr>
          <w:rFonts w:ascii="宋体" w:hAnsi="宋体" w:cs="宋体-18030"/>
          <w:sz w:val="28"/>
          <w:szCs w:val="28"/>
          <w:u w:val="single"/>
        </w:rPr>
      </w:pPr>
      <w:r>
        <w:rPr>
          <w:rFonts w:hint="eastAsia" w:ascii="宋体" w:hAnsi="宋体"/>
          <w:sz w:val="28"/>
          <w:szCs w:val="28"/>
        </w:rPr>
        <w:t>2.1</w:t>
      </w:r>
      <w:r>
        <w:rPr>
          <w:rFonts w:hint="eastAsia" w:ascii="宋体" w:hAnsi="宋体" w:cs="宋体-18030"/>
          <w:sz w:val="28"/>
          <w:szCs w:val="28"/>
          <w:u w:val="single"/>
        </w:rPr>
        <w:t>投标人</w:t>
      </w:r>
      <w:r>
        <w:rPr>
          <w:rFonts w:ascii="宋体" w:hAnsi="宋体" w:cs="宋体-18030"/>
          <w:sz w:val="28"/>
          <w:szCs w:val="28"/>
          <w:u w:val="single"/>
        </w:rPr>
        <w:t>具备已通过年检合格有效的企业法人营业执照</w:t>
      </w:r>
      <w:r>
        <w:rPr>
          <w:rFonts w:hint="eastAsia" w:ascii="宋体" w:hAnsi="宋体" w:cs="宋体-18030"/>
          <w:sz w:val="28"/>
          <w:szCs w:val="28"/>
          <w:u w:val="single"/>
        </w:rPr>
        <w:t>。</w:t>
      </w:r>
    </w:p>
    <w:p>
      <w:pPr>
        <w:snapToGrid w:val="0"/>
        <w:ind w:firstLine="560" w:firstLineChars="200"/>
        <w:rPr>
          <w:rFonts w:ascii="宋体" w:hAnsi="宋体" w:cs="宋体"/>
          <w:b/>
          <w:sz w:val="28"/>
          <w:szCs w:val="28"/>
          <w:u w:val="single"/>
        </w:rPr>
      </w:pPr>
      <w:r>
        <w:rPr>
          <w:rFonts w:hint="eastAsia" w:ascii="宋体" w:hAnsi="宋体" w:cs="宋体"/>
          <w:sz w:val="28"/>
          <w:szCs w:val="28"/>
        </w:rPr>
        <w:t>2.2</w:t>
      </w:r>
      <w:r>
        <w:rPr>
          <w:rFonts w:hint="eastAsia" w:ascii="宋体" w:hAnsi="宋体" w:cs="宋体"/>
          <w:sz w:val="28"/>
          <w:szCs w:val="28"/>
          <w:u w:val="single"/>
        </w:rPr>
        <w:t>本项目不接受联合体投标</w:t>
      </w:r>
      <w:r>
        <w:rPr>
          <w:rFonts w:hint="eastAsia" w:ascii="宋体" w:hAnsi="宋体"/>
          <w:sz w:val="28"/>
          <w:szCs w:val="28"/>
        </w:rPr>
        <w:t>。</w:t>
      </w:r>
    </w:p>
    <w:p>
      <w:pPr>
        <w:widowControl/>
        <w:ind w:firstLine="562" w:firstLineChars="200"/>
        <w:rPr>
          <w:rFonts w:ascii="宋体" w:hAnsi="宋体"/>
          <w:b/>
          <w:bCs/>
          <w:sz w:val="28"/>
          <w:szCs w:val="28"/>
        </w:rPr>
      </w:pPr>
      <w:r>
        <w:rPr>
          <w:rFonts w:hint="eastAsia" w:ascii="宋体" w:hAnsi="宋体"/>
          <w:b/>
          <w:bCs/>
          <w:sz w:val="28"/>
          <w:szCs w:val="28"/>
        </w:rPr>
        <w:t>4.评标办法</w:t>
      </w:r>
    </w:p>
    <w:p>
      <w:pPr>
        <w:widowControl/>
        <w:ind w:firstLine="560" w:firstLineChars="200"/>
        <w:rPr>
          <w:rFonts w:ascii="宋体" w:hAnsi="宋体"/>
          <w:sz w:val="28"/>
          <w:szCs w:val="28"/>
        </w:rPr>
      </w:pPr>
      <w:r>
        <w:rPr>
          <w:rFonts w:hint="eastAsia" w:ascii="宋体" w:hAnsi="宋体"/>
          <w:sz w:val="28"/>
          <w:szCs w:val="28"/>
        </w:rPr>
        <w:t>本招标项目采用的评标办法：最低评标价法。</w:t>
      </w:r>
    </w:p>
    <w:p>
      <w:pPr>
        <w:widowControl/>
        <w:ind w:firstLine="562" w:firstLineChars="200"/>
        <w:rPr>
          <w:rFonts w:ascii="宋体" w:hAnsi="宋体"/>
          <w:b/>
          <w:bCs/>
          <w:sz w:val="28"/>
          <w:szCs w:val="28"/>
        </w:rPr>
      </w:pPr>
      <w:r>
        <w:rPr>
          <w:rFonts w:hint="eastAsia" w:ascii="宋体" w:hAnsi="宋体"/>
          <w:b/>
          <w:bCs/>
          <w:sz w:val="28"/>
          <w:szCs w:val="28"/>
        </w:rPr>
        <w:t>5.投标文件的递交</w:t>
      </w:r>
    </w:p>
    <w:p>
      <w:pPr>
        <w:widowControl/>
        <w:ind w:firstLine="560" w:firstLineChars="200"/>
        <w:rPr>
          <w:rFonts w:ascii="宋体" w:hAnsi="宋体"/>
          <w:sz w:val="28"/>
          <w:szCs w:val="28"/>
        </w:rPr>
      </w:pPr>
      <w:r>
        <w:rPr>
          <w:rFonts w:hint="eastAsia" w:ascii="宋体" w:hAnsi="宋体"/>
          <w:sz w:val="28"/>
          <w:szCs w:val="28"/>
        </w:rPr>
        <w:t>5.1 各报价人提供的报价文件采取密封报价方式，一式三份，并在报价截止时间前送达。</w:t>
      </w:r>
    </w:p>
    <w:p>
      <w:pPr>
        <w:widowControl/>
        <w:ind w:firstLine="560" w:firstLineChars="200"/>
        <w:rPr>
          <w:rFonts w:ascii="宋体" w:hAnsi="宋体"/>
          <w:sz w:val="28"/>
          <w:szCs w:val="28"/>
        </w:rPr>
      </w:pPr>
      <w:r>
        <w:rPr>
          <w:rFonts w:hint="eastAsia" w:ascii="宋体" w:hAnsi="宋体"/>
          <w:sz w:val="28"/>
          <w:szCs w:val="28"/>
        </w:rPr>
        <w:t>5.2 投标文件递交的截止时间(投标截止时间)：</w:t>
      </w:r>
      <w:r>
        <w:rPr>
          <w:rFonts w:hint="eastAsia" w:ascii="宋体" w:hAnsi="宋体"/>
          <w:b/>
          <w:color w:val="auto"/>
          <w:sz w:val="28"/>
          <w:szCs w:val="28"/>
          <w:u w:val="single"/>
        </w:rPr>
        <w:t>2024</w:t>
      </w:r>
      <w:r>
        <w:rPr>
          <w:rFonts w:hint="eastAsia" w:ascii="宋体" w:hAnsi="宋体"/>
          <w:color w:val="auto"/>
          <w:sz w:val="28"/>
          <w:szCs w:val="28"/>
        </w:rPr>
        <w:t>年</w:t>
      </w:r>
      <w:r>
        <w:rPr>
          <w:rFonts w:hint="eastAsia" w:ascii="宋体" w:hAnsi="宋体"/>
          <w:b/>
          <w:color w:val="auto"/>
          <w:sz w:val="28"/>
          <w:szCs w:val="28"/>
          <w:u w:val="single"/>
        </w:rPr>
        <w:t>8</w:t>
      </w:r>
      <w:r>
        <w:rPr>
          <w:rFonts w:hint="eastAsia" w:ascii="宋体" w:hAnsi="宋体"/>
          <w:color w:val="auto"/>
          <w:sz w:val="28"/>
          <w:szCs w:val="28"/>
        </w:rPr>
        <w:t>月</w:t>
      </w:r>
      <w:r>
        <w:rPr>
          <w:rFonts w:hint="eastAsia" w:ascii="宋体" w:hAnsi="宋体"/>
          <w:b/>
          <w:color w:val="auto"/>
          <w:sz w:val="28"/>
          <w:szCs w:val="28"/>
          <w:u w:val="single"/>
          <w:lang w:val="en-US" w:eastAsia="zh-CN"/>
        </w:rPr>
        <w:t xml:space="preserve"> 23 </w:t>
      </w:r>
      <w:r>
        <w:rPr>
          <w:rFonts w:hint="eastAsia" w:ascii="宋体" w:hAnsi="宋体"/>
          <w:color w:val="auto"/>
          <w:sz w:val="28"/>
          <w:szCs w:val="28"/>
        </w:rPr>
        <w:t>日</w:t>
      </w:r>
      <w:r>
        <w:rPr>
          <w:rFonts w:hint="eastAsia" w:ascii="宋体" w:hAnsi="宋体"/>
          <w:b/>
          <w:color w:val="auto"/>
          <w:sz w:val="28"/>
          <w:szCs w:val="28"/>
          <w:u w:val="single"/>
        </w:rPr>
        <w:t>18</w:t>
      </w:r>
      <w:r>
        <w:rPr>
          <w:rFonts w:hint="eastAsia" w:ascii="宋体" w:hAnsi="宋体"/>
          <w:color w:val="auto"/>
          <w:sz w:val="28"/>
          <w:szCs w:val="28"/>
        </w:rPr>
        <w:t>时，</w:t>
      </w:r>
      <w:r>
        <w:rPr>
          <w:rFonts w:hint="eastAsia" w:ascii="宋体" w:hAnsi="宋体"/>
          <w:sz w:val="28"/>
          <w:szCs w:val="28"/>
        </w:rPr>
        <w:t>提交地点为</w:t>
      </w:r>
      <w:r>
        <w:rPr>
          <w:rFonts w:hint="eastAsia" w:ascii="宋体" w:hAnsi="宋体"/>
          <w:b/>
          <w:sz w:val="28"/>
          <w:szCs w:val="28"/>
          <w:u w:val="single"/>
        </w:rPr>
        <w:t>福建省高级人民法院。</w:t>
      </w:r>
    </w:p>
    <w:p>
      <w:pPr>
        <w:widowControl/>
        <w:ind w:firstLine="560" w:firstLineChars="200"/>
        <w:rPr>
          <w:rFonts w:ascii="宋体" w:hAnsi="宋体"/>
          <w:sz w:val="28"/>
          <w:szCs w:val="28"/>
        </w:rPr>
      </w:pPr>
      <w:r>
        <w:rPr>
          <w:rFonts w:hint="eastAsia" w:ascii="宋体" w:hAnsi="宋体"/>
          <w:sz w:val="28"/>
          <w:szCs w:val="28"/>
        </w:rPr>
        <w:t>5.3 逾期送达的或不符合上述规定的投标文件均不予受理。</w:t>
      </w:r>
    </w:p>
    <w:p>
      <w:pPr>
        <w:widowControl/>
        <w:ind w:firstLine="562" w:firstLineChars="200"/>
        <w:rPr>
          <w:rFonts w:ascii="宋体" w:hAnsi="宋体"/>
          <w:b/>
          <w:sz w:val="28"/>
          <w:szCs w:val="28"/>
        </w:rPr>
      </w:pPr>
      <w:r>
        <w:rPr>
          <w:rFonts w:hint="eastAsia" w:ascii="宋体" w:hAnsi="宋体"/>
          <w:b/>
          <w:sz w:val="28"/>
          <w:szCs w:val="28"/>
        </w:rPr>
        <w:t>6.评标方式</w:t>
      </w:r>
    </w:p>
    <w:p>
      <w:pPr>
        <w:widowControl/>
        <w:ind w:firstLine="560" w:firstLineChars="200"/>
        <w:rPr>
          <w:rFonts w:ascii="宋体" w:hAnsi="宋体"/>
          <w:sz w:val="28"/>
          <w:szCs w:val="28"/>
        </w:rPr>
      </w:pPr>
      <w:r>
        <w:rPr>
          <w:rFonts w:hint="eastAsia" w:ascii="宋体" w:hAnsi="宋体"/>
          <w:sz w:val="28"/>
          <w:szCs w:val="28"/>
        </w:rPr>
        <w:t>报价文件由福建省高级人民法院政府采购工作领导小组办公室组织人员按评标办法予以评定。</w:t>
      </w:r>
    </w:p>
    <w:p>
      <w:pPr>
        <w:widowControl/>
        <w:ind w:firstLine="562" w:firstLineChars="200"/>
        <w:rPr>
          <w:rFonts w:ascii="宋体" w:hAnsi="宋体"/>
          <w:b/>
          <w:bCs/>
          <w:sz w:val="28"/>
          <w:szCs w:val="28"/>
        </w:rPr>
      </w:pPr>
      <w:r>
        <w:rPr>
          <w:rFonts w:hint="eastAsia" w:ascii="宋体" w:hAnsi="宋体"/>
          <w:b/>
          <w:bCs/>
          <w:sz w:val="28"/>
          <w:szCs w:val="28"/>
        </w:rPr>
        <w:t>7.发布公告的媒介</w:t>
      </w:r>
    </w:p>
    <w:p>
      <w:pPr>
        <w:widowControl/>
        <w:ind w:firstLine="560" w:firstLineChars="200"/>
        <w:rPr>
          <w:rFonts w:ascii="宋体" w:hAnsi="宋体" w:cs="宋体-18030"/>
          <w:color w:val="000000"/>
          <w:sz w:val="28"/>
          <w:szCs w:val="28"/>
        </w:rPr>
      </w:pPr>
      <w:r>
        <w:rPr>
          <w:rFonts w:hint="eastAsia" w:ascii="宋体" w:hAnsi="宋体" w:cs="宋体-18030"/>
          <w:color w:val="000000"/>
          <w:sz w:val="28"/>
          <w:szCs w:val="28"/>
        </w:rPr>
        <w:t>本次招标公告在</w:t>
      </w:r>
      <w:r>
        <w:rPr>
          <w:rFonts w:hint="eastAsia" w:ascii="宋体" w:hAnsi="宋体" w:cs="宋体-18030"/>
          <w:sz w:val="28"/>
          <w:szCs w:val="28"/>
          <w:u w:val="single"/>
        </w:rPr>
        <w:t>福建省高级人民法院门户网站（www.fjcourt.gov.cn）上</w:t>
      </w:r>
      <w:r>
        <w:rPr>
          <w:rFonts w:hint="eastAsia" w:ascii="宋体" w:hAnsi="宋体" w:cs="宋体-18030"/>
          <w:color w:val="000000"/>
          <w:sz w:val="28"/>
          <w:szCs w:val="28"/>
        </w:rPr>
        <w:t>发布。</w:t>
      </w:r>
    </w:p>
    <w:p>
      <w:pPr>
        <w:widowControl/>
        <w:ind w:firstLine="562" w:firstLineChars="200"/>
        <w:rPr>
          <w:rFonts w:ascii="宋体" w:hAnsi="宋体"/>
          <w:b/>
          <w:bCs/>
          <w:sz w:val="28"/>
          <w:szCs w:val="28"/>
        </w:rPr>
      </w:pPr>
      <w:r>
        <w:rPr>
          <w:rFonts w:hint="eastAsia" w:ascii="宋体" w:hAnsi="宋体"/>
          <w:b/>
          <w:bCs/>
          <w:sz w:val="28"/>
          <w:szCs w:val="28"/>
        </w:rPr>
        <w:t>8.联系方式</w:t>
      </w:r>
    </w:p>
    <w:p>
      <w:pPr>
        <w:pStyle w:val="7"/>
        <w:snapToGrid w:val="0"/>
        <w:spacing w:line="240" w:lineRule="auto"/>
        <w:ind w:firstLine="560" w:firstLineChars="200"/>
        <w:rPr>
          <w:rFonts w:cs="宋体-18030"/>
          <w:color w:val="000000"/>
          <w:sz w:val="28"/>
          <w:szCs w:val="28"/>
        </w:rPr>
      </w:pPr>
      <w:r>
        <w:rPr>
          <w:rFonts w:hint="eastAsia" w:cs="宋体-18030"/>
          <w:color w:val="000000"/>
          <w:sz w:val="28"/>
          <w:szCs w:val="28"/>
        </w:rPr>
        <w:t>招标人：</w:t>
      </w:r>
      <w:r>
        <w:rPr>
          <w:rFonts w:hint="eastAsia" w:cs="宋体-18030"/>
          <w:color w:val="000000"/>
          <w:sz w:val="28"/>
          <w:szCs w:val="28"/>
          <w:u w:val="single"/>
        </w:rPr>
        <w:t>福建省高级人民法院</w:t>
      </w:r>
      <w:r>
        <w:rPr>
          <w:rFonts w:hint="eastAsia" w:cs="宋体-18030"/>
          <w:color w:val="000000"/>
          <w:sz w:val="28"/>
          <w:szCs w:val="28"/>
        </w:rPr>
        <w:t xml:space="preserve"> ；</w:t>
      </w:r>
    </w:p>
    <w:p>
      <w:pPr>
        <w:pStyle w:val="7"/>
        <w:snapToGrid w:val="0"/>
        <w:spacing w:line="240" w:lineRule="auto"/>
        <w:ind w:firstLine="560" w:firstLineChars="200"/>
        <w:rPr>
          <w:rFonts w:cs="宋体-18030"/>
          <w:sz w:val="28"/>
          <w:szCs w:val="28"/>
          <w:u w:val="single"/>
        </w:rPr>
      </w:pPr>
      <w:r>
        <w:rPr>
          <w:rFonts w:hint="eastAsia" w:cs="宋体-18030"/>
          <w:color w:val="000000"/>
          <w:sz w:val="28"/>
          <w:szCs w:val="28"/>
        </w:rPr>
        <w:t>地址：</w:t>
      </w:r>
      <w:r>
        <w:rPr>
          <w:rFonts w:hint="eastAsia" w:cs="宋体-18030"/>
          <w:sz w:val="28"/>
          <w:szCs w:val="28"/>
          <w:u w:val="single"/>
        </w:rPr>
        <w:t>福建省福州市鼓楼区西环北路58号</w:t>
      </w:r>
      <w:r>
        <w:rPr>
          <w:rFonts w:hint="eastAsia" w:cs="宋体-18030"/>
          <w:color w:val="000000"/>
          <w:sz w:val="28"/>
          <w:szCs w:val="28"/>
        </w:rPr>
        <w:t>，</w:t>
      </w:r>
      <w:r>
        <w:rPr>
          <w:rFonts w:hint="eastAsia" w:cs="宋体-18030"/>
          <w:sz w:val="28"/>
          <w:szCs w:val="28"/>
        </w:rPr>
        <w:t>邮编：</w:t>
      </w:r>
      <w:r>
        <w:rPr>
          <w:rFonts w:hint="eastAsia" w:cs="宋体-18030"/>
          <w:sz w:val="28"/>
          <w:szCs w:val="28"/>
          <w:u w:val="single"/>
        </w:rPr>
        <w:t xml:space="preserve"> 350003 </w:t>
      </w:r>
      <w:r>
        <w:rPr>
          <w:rFonts w:hint="eastAsia" w:cs="宋体-18030"/>
          <w:sz w:val="28"/>
          <w:szCs w:val="28"/>
        </w:rPr>
        <w:t>；</w:t>
      </w:r>
    </w:p>
    <w:p>
      <w:pPr>
        <w:pStyle w:val="7"/>
        <w:snapToGrid w:val="0"/>
        <w:spacing w:line="240" w:lineRule="auto"/>
        <w:ind w:firstLine="560" w:firstLineChars="200"/>
        <w:rPr>
          <w:rFonts w:cs="宋体-18030"/>
          <w:sz w:val="28"/>
          <w:szCs w:val="28"/>
        </w:rPr>
      </w:pPr>
      <w:r>
        <w:rPr>
          <w:rFonts w:hint="eastAsia" w:cs="宋体-18030"/>
          <w:sz w:val="28"/>
          <w:szCs w:val="28"/>
        </w:rPr>
        <w:t>电话：</w:t>
      </w:r>
      <w:r>
        <w:rPr>
          <w:rFonts w:hint="eastAsia" w:cs="宋体-18030"/>
          <w:sz w:val="28"/>
          <w:szCs w:val="28"/>
          <w:u w:val="single"/>
        </w:rPr>
        <w:t xml:space="preserve"> 0591-87087245</w:t>
      </w:r>
      <w:r>
        <w:rPr>
          <w:rFonts w:hint="eastAsia" w:cs="宋体-18030"/>
          <w:sz w:val="28"/>
          <w:szCs w:val="28"/>
        </w:rPr>
        <w:t>传真：</w:t>
      </w:r>
      <w:r>
        <w:rPr>
          <w:rFonts w:hint="eastAsia" w:cs="宋体-18030"/>
          <w:sz w:val="28"/>
          <w:szCs w:val="28"/>
          <w:u w:val="single"/>
        </w:rPr>
        <w:t xml:space="preserve"> 0591-87087841</w:t>
      </w:r>
      <w:r>
        <w:rPr>
          <w:rFonts w:hint="eastAsia" w:cs="宋体-18030"/>
          <w:sz w:val="28"/>
          <w:szCs w:val="28"/>
        </w:rPr>
        <w:t>；</w:t>
      </w:r>
    </w:p>
    <w:p>
      <w:pPr>
        <w:pStyle w:val="7"/>
        <w:snapToGrid w:val="0"/>
        <w:spacing w:line="240" w:lineRule="auto"/>
        <w:ind w:firstLine="560" w:firstLineChars="200"/>
        <w:rPr>
          <w:rFonts w:cs="宋体-18030"/>
          <w:color w:val="000000"/>
          <w:sz w:val="28"/>
          <w:szCs w:val="28"/>
        </w:rPr>
      </w:pPr>
    </w:p>
    <w:p>
      <w:pPr>
        <w:jc w:val="center"/>
        <w:rPr>
          <w:rFonts w:ascii="仿宋_GB2312" w:eastAsia="仿宋_GB2312"/>
          <w:sz w:val="28"/>
          <w:szCs w:val="28"/>
        </w:rPr>
      </w:pPr>
    </w:p>
    <w:p>
      <w:pPr>
        <w:pStyle w:val="4"/>
        <w:spacing w:before="0" w:after="0" w:line="240" w:lineRule="auto"/>
        <w:jc w:val="center"/>
        <w:rPr>
          <w:sz w:val="28"/>
          <w:szCs w:val="28"/>
        </w:rPr>
      </w:pPr>
      <w:r>
        <w:rPr>
          <w:sz w:val="28"/>
          <w:szCs w:val="28"/>
        </w:rPr>
        <w:br w:type="page"/>
      </w:r>
      <w:bookmarkStart w:id="5" w:name="_Toc1675562818"/>
      <w:bookmarkStart w:id="6" w:name="_Toc1202200574"/>
      <w:bookmarkStart w:id="7" w:name="_Toc826254344"/>
      <w:bookmarkStart w:id="8" w:name="_Toc28831"/>
      <w:bookmarkStart w:id="9" w:name="_Toc331954632"/>
      <w:r>
        <w:rPr>
          <w:rFonts w:hint="eastAsia"/>
          <w:sz w:val="28"/>
          <w:szCs w:val="28"/>
        </w:rPr>
        <w:t>第二章 投标须知</w:t>
      </w:r>
      <w:bookmarkEnd w:id="5"/>
      <w:bookmarkEnd w:id="6"/>
      <w:bookmarkEnd w:id="7"/>
      <w:bookmarkEnd w:id="8"/>
      <w:bookmarkEnd w:id="9"/>
    </w:p>
    <w:p>
      <w:pPr>
        <w:pStyle w:val="6"/>
        <w:spacing w:before="0" w:after="0" w:line="240" w:lineRule="auto"/>
        <w:ind w:firstLine="548" w:firstLineChars="195"/>
        <w:rPr>
          <w:rFonts w:ascii="宋体" w:hAnsi="宋体"/>
          <w:sz w:val="28"/>
          <w:szCs w:val="28"/>
        </w:rPr>
      </w:pPr>
      <w:bookmarkStart w:id="10" w:name="_Toc1863211522"/>
      <w:bookmarkStart w:id="11" w:name="_Toc1766936783"/>
      <w:bookmarkStart w:id="12" w:name="_Toc1865236717"/>
      <w:bookmarkStart w:id="13" w:name="_Toc1628077535"/>
      <w:bookmarkStart w:id="14" w:name="_Toc26561"/>
      <w:r>
        <w:rPr>
          <w:rFonts w:hint="eastAsia" w:ascii="宋体" w:hAnsi="宋体"/>
          <w:sz w:val="28"/>
          <w:szCs w:val="28"/>
        </w:rPr>
        <w:t>1、投标文件组成</w:t>
      </w:r>
      <w:bookmarkEnd w:id="10"/>
      <w:bookmarkEnd w:id="11"/>
      <w:bookmarkEnd w:id="12"/>
      <w:bookmarkEnd w:id="13"/>
      <w:bookmarkEnd w:id="14"/>
    </w:p>
    <w:p>
      <w:pPr>
        <w:ind w:firstLine="546" w:firstLineChars="195"/>
        <w:rPr>
          <w:rFonts w:ascii="宋体" w:hAnsi="宋体"/>
          <w:sz w:val="28"/>
          <w:szCs w:val="28"/>
        </w:rPr>
      </w:pPr>
      <w:r>
        <w:rPr>
          <w:rFonts w:hint="eastAsia" w:ascii="宋体" w:hAnsi="宋体"/>
          <w:sz w:val="28"/>
          <w:szCs w:val="28"/>
        </w:rPr>
        <w:t>投标文件应包括下列部分：</w:t>
      </w:r>
    </w:p>
    <w:p>
      <w:pPr>
        <w:ind w:firstLine="546" w:firstLineChars="195"/>
        <w:rPr>
          <w:rFonts w:ascii="宋体" w:hAnsi="宋体"/>
          <w:sz w:val="28"/>
          <w:szCs w:val="28"/>
        </w:rPr>
      </w:pPr>
      <w:r>
        <w:rPr>
          <w:rFonts w:hint="eastAsia" w:ascii="宋体" w:hAnsi="宋体"/>
          <w:sz w:val="28"/>
          <w:szCs w:val="28"/>
        </w:rPr>
        <w:t>1.1 投标文件</w:t>
      </w:r>
    </w:p>
    <w:p>
      <w:pPr>
        <w:ind w:firstLine="546" w:firstLineChars="195"/>
        <w:rPr>
          <w:rFonts w:ascii="宋体" w:hAnsi="宋体"/>
          <w:sz w:val="28"/>
          <w:szCs w:val="28"/>
        </w:rPr>
      </w:pPr>
      <w:r>
        <w:rPr>
          <w:rFonts w:hint="eastAsia" w:ascii="宋体" w:hAnsi="宋体"/>
          <w:sz w:val="28"/>
          <w:szCs w:val="28"/>
        </w:rPr>
        <w:t>(1) 报价表(含服务项目、服务标准、单价、数量、价格以及合同总价)</w:t>
      </w:r>
    </w:p>
    <w:p>
      <w:pPr>
        <w:ind w:firstLine="546" w:firstLineChars="195"/>
        <w:rPr>
          <w:rFonts w:ascii="宋体" w:hAnsi="宋体"/>
          <w:sz w:val="28"/>
          <w:szCs w:val="28"/>
        </w:rPr>
      </w:pPr>
      <w:r>
        <w:rPr>
          <w:rFonts w:hint="eastAsia" w:ascii="宋体" w:hAnsi="宋体"/>
          <w:sz w:val="28"/>
          <w:szCs w:val="28"/>
        </w:rPr>
        <w:t>(2) 投标符合性承诺（具体格式见后）</w:t>
      </w:r>
    </w:p>
    <w:p>
      <w:pPr>
        <w:ind w:firstLine="546" w:firstLineChars="195"/>
        <w:rPr>
          <w:rFonts w:ascii="宋体" w:hAnsi="宋体"/>
          <w:sz w:val="28"/>
          <w:szCs w:val="28"/>
        </w:rPr>
      </w:pPr>
      <w:r>
        <w:rPr>
          <w:rFonts w:hint="eastAsia" w:ascii="宋体" w:hAnsi="宋体"/>
          <w:sz w:val="28"/>
          <w:szCs w:val="28"/>
        </w:rPr>
        <w:t>1.2 投标人须提供的资格证明文件：</w:t>
      </w:r>
    </w:p>
    <w:p>
      <w:pPr>
        <w:ind w:firstLine="546" w:firstLineChars="195"/>
        <w:rPr>
          <w:rFonts w:ascii="宋体" w:hAnsi="宋体"/>
          <w:sz w:val="28"/>
          <w:szCs w:val="28"/>
        </w:rPr>
      </w:pPr>
      <w:r>
        <w:rPr>
          <w:rFonts w:hint="eastAsia" w:ascii="宋体" w:hAnsi="宋体"/>
          <w:sz w:val="28"/>
          <w:szCs w:val="28"/>
        </w:rPr>
        <w:t>(1) 营业执照</w:t>
      </w:r>
    </w:p>
    <w:p>
      <w:pPr>
        <w:ind w:firstLine="546" w:firstLineChars="195"/>
        <w:rPr>
          <w:rFonts w:ascii="宋体" w:hAnsi="宋体"/>
          <w:sz w:val="28"/>
          <w:szCs w:val="28"/>
        </w:rPr>
      </w:pPr>
      <w:r>
        <w:rPr>
          <w:rFonts w:hint="eastAsia" w:ascii="宋体" w:hAnsi="宋体"/>
          <w:sz w:val="28"/>
          <w:szCs w:val="28"/>
        </w:rPr>
        <w:t>(</w:t>
      </w:r>
      <w:r>
        <w:rPr>
          <w:rFonts w:hint="eastAsia" w:ascii="宋体" w:hAnsi="宋体"/>
          <w:sz w:val="28"/>
          <w:szCs w:val="28"/>
          <w:lang w:val="en-US" w:eastAsia="zh-CN"/>
        </w:rPr>
        <w:t>2</w:t>
      </w:r>
      <w:r>
        <w:rPr>
          <w:rFonts w:hint="eastAsia" w:ascii="宋体" w:hAnsi="宋体"/>
          <w:sz w:val="28"/>
          <w:szCs w:val="28"/>
        </w:rPr>
        <w:t>) 法定代表人授权书</w:t>
      </w:r>
    </w:p>
    <w:p>
      <w:pPr>
        <w:pStyle w:val="6"/>
        <w:spacing w:before="0" w:after="0" w:line="240" w:lineRule="auto"/>
        <w:ind w:firstLine="548" w:firstLineChars="195"/>
        <w:rPr>
          <w:rFonts w:ascii="宋体" w:hAnsi="宋体"/>
          <w:sz w:val="28"/>
          <w:szCs w:val="28"/>
        </w:rPr>
      </w:pPr>
      <w:bookmarkStart w:id="15" w:name="_Toc248816784"/>
      <w:bookmarkStart w:id="16" w:name="_Toc254746462"/>
      <w:bookmarkStart w:id="17" w:name="_Toc827223215"/>
      <w:bookmarkStart w:id="18" w:name="_Toc22955"/>
      <w:bookmarkStart w:id="19" w:name="_Toc866840977"/>
      <w:r>
        <w:rPr>
          <w:rFonts w:hint="eastAsia" w:ascii="宋体" w:hAnsi="宋体"/>
          <w:sz w:val="28"/>
          <w:szCs w:val="28"/>
        </w:rPr>
        <w:t>2、投标要求</w:t>
      </w:r>
      <w:bookmarkEnd w:id="15"/>
      <w:bookmarkEnd w:id="16"/>
      <w:bookmarkEnd w:id="17"/>
      <w:bookmarkEnd w:id="18"/>
      <w:bookmarkEnd w:id="19"/>
    </w:p>
    <w:p>
      <w:pPr>
        <w:pStyle w:val="11"/>
        <w:spacing w:line="240" w:lineRule="auto"/>
        <w:ind w:firstLine="546" w:firstLineChars="195"/>
        <w:rPr>
          <w:rFonts w:hAnsi="宋体"/>
          <w:sz w:val="28"/>
          <w:szCs w:val="28"/>
        </w:rPr>
      </w:pPr>
      <w:r>
        <w:rPr>
          <w:rFonts w:hint="eastAsia" w:hAnsi="宋体"/>
          <w:sz w:val="28"/>
          <w:szCs w:val="28"/>
        </w:rPr>
        <w:t>2.1投标人所提供的服务应符合国家相关法律法规。</w:t>
      </w:r>
    </w:p>
    <w:p>
      <w:pPr>
        <w:ind w:firstLine="546" w:firstLineChars="195"/>
        <w:rPr>
          <w:rFonts w:ascii="宋体" w:hAnsi="宋体"/>
          <w:sz w:val="28"/>
          <w:szCs w:val="28"/>
        </w:rPr>
      </w:pPr>
      <w:r>
        <w:rPr>
          <w:rFonts w:hint="eastAsia" w:ascii="宋体" w:hAnsi="宋体"/>
          <w:sz w:val="28"/>
          <w:szCs w:val="28"/>
        </w:rPr>
        <w:t>2.2投标人提供的服务中如有配套使用的相关软件和电子资源，必须是正版的、合法的。投标人应将相关配套软件和信息资源许可使用费包含在投标报价中。如有纠纷由中标人承担全部责任。</w:t>
      </w:r>
    </w:p>
    <w:p>
      <w:pPr>
        <w:ind w:firstLine="546" w:firstLineChars="195"/>
        <w:rPr>
          <w:rFonts w:ascii="宋体" w:hAnsi="宋体"/>
          <w:sz w:val="28"/>
          <w:szCs w:val="28"/>
        </w:rPr>
      </w:pPr>
      <w:r>
        <w:rPr>
          <w:rFonts w:hint="eastAsia" w:ascii="宋体" w:hAnsi="宋体"/>
          <w:sz w:val="28"/>
          <w:szCs w:val="28"/>
        </w:rPr>
        <w:t>2.3 投标人应合理评估本项目相关工作量，若投标价格明显低于其他投标人，则应说明理由，若存在以明显低于市场成本价的低价冲标情况，则该投标无效。</w:t>
      </w:r>
    </w:p>
    <w:p>
      <w:pPr>
        <w:pStyle w:val="6"/>
        <w:spacing w:before="0" w:after="0" w:line="240" w:lineRule="auto"/>
        <w:ind w:firstLine="548" w:firstLineChars="195"/>
        <w:rPr>
          <w:rFonts w:ascii="宋体" w:hAnsi="宋体"/>
          <w:sz w:val="28"/>
          <w:szCs w:val="28"/>
        </w:rPr>
      </w:pPr>
      <w:bookmarkStart w:id="20" w:name="_Toc721354807"/>
      <w:bookmarkStart w:id="21" w:name="_Toc151275335"/>
      <w:bookmarkStart w:id="22" w:name="_Toc1898330340"/>
      <w:bookmarkStart w:id="23" w:name="_Toc27943"/>
      <w:bookmarkStart w:id="24" w:name="_Toc1232716286"/>
      <w:r>
        <w:rPr>
          <w:rFonts w:hint="eastAsia" w:ascii="宋体" w:hAnsi="宋体"/>
          <w:sz w:val="28"/>
          <w:szCs w:val="28"/>
        </w:rPr>
        <w:t>3、评标方法</w:t>
      </w:r>
      <w:bookmarkEnd w:id="20"/>
      <w:bookmarkEnd w:id="21"/>
      <w:bookmarkEnd w:id="22"/>
      <w:bookmarkEnd w:id="23"/>
      <w:bookmarkEnd w:id="24"/>
    </w:p>
    <w:p>
      <w:pPr>
        <w:ind w:firstLine="546" w:firstLineChars="195"/>
        <w:rPr>
          <w:rFonts w:ascii="宋体" w:hAnsi="宋体"/>
          <w:sz w:val="28"/>
          <w:szCs w:val="28"/>
        </w:rPr>
      </w:pPr>
      <w:r>
        <w:rPr>
          <w:rFonts w:hint="eastAsia" w:ascii="宋体" w:hAnsi="宋体"/>
          <w:sz w:val="28"/>
          <w:szCs w:val="28"/>
        </w:rPr>
        <w:t>本项目服务招标采购的评标方法采用最低评标价法。</w:t>
      </w:r>
    </w:p>
    <w:p>
      <w:pPr>
        <w:ind w:firstLine="537" w:firstLineChars="191"/>
        <w:rPr>
          <w:rFonts w:ascii="宋体" w:hAnsi="宋体"/>
          <w:b/>
          <w:bCs/>
          <w:sz w:val="28"/>
          <w:szCs w:val="28"/>
        </w:rPr>
      </w:pPr>
      <w:r>
        <w:rPr>
          <w:rFonts w:hint="eastAsia" w:ascii="宋体" w:hAnsi="宋体"/>
          <w:b/>
          <w:bCs/>
          <w:sz w:val="28"/>
          <w:szCs w:val="28"/>
        </w:rPr>
        <w:t>在最大限度地满足招标文件实质性要求前提下，报价最低的投标人为中标候选人。</w:t>
      </w:r>
    </w:p>
    <w:p>
      <w:pPr>
        <w:pStyle w:val="6"/>
        <w:spacing w:before="0" w:after="0" w:line="240" w:lineRule="auto"/>
        <w:ind w:firstLine="548" w:firstLineChars="195"/>
        <w:rPr>
          <w:rFonts w:ascii="宋体" w:hAnsi="宋体"/>
          <w:sz w:val="28"/>
          <w:szCs w:val="28"/>
        </w:rPr>
      </w:pPr>
      <w:bookmarkStart w:id="25" w:name="_Toc1591628279"/>
      <w:bookmarkStart w:id="26" w:name="_Toc349391510"/>
      <w:bookmarkStart w:id="27" w:name="_Toc1125200320"/>
      <w:bookmarkStart w:id="28" w:name="_Toc26998"/>
      <w:bookmarkStart w:id="29" w:name="_Toc2042584111"/>
      <w:bookmarkStart w:id="30" w:name="_Toc177186271"/>
      <w:r>
        <w:rPr>
          <w:rFonts w:hint="eastAsia" w:ascii="宋体" w:hAnsi="宋体"/>
          <w:sz w:val="28"/>
          <w:szCs w:val="28"/>
        </w:rPr>
        <w:t>4、开标</w:t>
      </w:r>
      <w:bookmarkEnd w:id="25"/>
      <w:bookmarkEnd w:id="26"/>
      <w:bookmarkEnd w:id="27"/>
      <w:bookmarkEnd w:id="28"/>
      <w:bookmarkEnd w:id="29"/>
    </w:p>
    <w:bookmarkEnd w:id="30"/>
    <w:p>
      <w:pPr>
        <w:ind w:firstLine="546" w:firstLineChars="195"/>
        <w:rPr>
          <w:rFonts w:ascii="宋体" w:hAnsi="宋体"/>
          <w:sz w:val="28"/>
          <w:szCs w:val="28"/>
        </w:rPr>
      </w:pPr>
      <w:r>
        <w:rPr>
          <w:rFonts w:hint="eastAsia" w:ascii="宋体" w:hAnsi="宋体"/>
          <w:sz w:val="28"/>
          <w:szCs w:val="28"/>
        </w:rPr>
        <w:t>报价文件提交后，由福建省高级人民法院政府采购工作领导小组办公室组织人员按评标办法予以评定。</w:t>
      </w:r>
    </w:p>
    <w:p>
      <w:pPr>
        <w:pStyle w:val="4"/>
        <w:spacing w:before="0" w:after="0" w:line="240" w:lineRule="auto"/>
        <w:jc w:val="center"/>
      </w:pPr>
      <w:r>
        <w:br w:type="page"/>
      </w:r>
      <w:bookmarkStart w:id="31" w:name="_Toc1775358649"/>
      <w:bookmarkStart w:id="32" w:name="_Toc900761654"/>
      <w:bookmarkStart w:id="33" w:name="_Toc1875900405"/>
      <w:bookmarkStart w:id="34" w:name="_Toc14580"/>
      <w:bookmarkStart w:id="35" w:name="_Toc1212294883"/>
      <w:r>
        <w:rPr>
          <w:rFonts w:hint="eastAsia"/>
        </w:rPr>
        <w:t>第三章 招标内容和要求</w:t>
      </w:r>
      <w:bookmarkEnd w:id="31"/>
      <w:bookmarkEnd w:id="32"/>
      <w:bookmarkEnd w:id="33"/>
      <w:bookmarkEnd w:id="34"/>
      <w:bookmarkEnd w:id="35"/>
    </w:p>
    <w:p>
      <w:pPr>
        <w:pStyle w:val="5"/>
        <w:tabs>
          <w:tab w:val="left" w:pos="4156"/>
        </w:tabs>
        <w:spacing w:before="0" w:after="0" w:line="240" w:lineRule="auto"/>
        <w:ind w:firstLine="643" w:firstLineChars="200"/>
      </w:pPr>
      <w:bookmarkStart w:id="36" w:name="_Toc815"/>
      <w:bookmarkStart w:id="37" w:name="_Toc557616994"/>
      <w:bookmarkStart w:id="38" w:name="_Toc729938375"/>
      <w:bookmarkStart w:id="39" w:name="_Toc385071668"/>
      <w:bookmarkStart w:id="40" w:name="_Toc1197820631"/>
      <w:bookmarkStart w:id="41" w:name="_Toc13329"/>
      <w:r>
        <w:rPr>
          <w:rFonts w:hint="eastAsia"/>
        </w:rPr>
        <w:t>1. 项目概况</w:t>
      </w:r>
      <w:bookmarkEnd w:id="36"/>
      <w:bookmarkEnd w:id="37"/>
      <w:bookmarkEnd w:id="38"/>
      <w:bookmarkEnd w:id="39"/>
      <w:bookmarkEnd w:id="40"/>
      <w:r>
        <w:rPr>
          <w:rFonts w:hint="eastAsia"/>
        </w:rPr>
        <w:tab/>
      </w:r>
    </w:p>
    <w:p>
      <w:pPr>
        <w:ind w:firstLine="560"/>
        <w:rPr>
          <w:rFonts w:ascii="宋体" w:hAnsi="宋体"/>
          <w:sz w:val="28"/>
          <w:szCs w:val="28"/>
        </w:rPr>
      </w:pPr>
      <w:r>
        <w:rPr>
          <w:rFonts w:hint="eastAsia" w:ascii="宋体" w:hAnsi="宋体"/>
          <w:sz w:val="28"/>
          <w:szCs w:val="28"/>
        </w:rPr>
        <w:t>为发现、培养、选拔一批</w:t>
      </w:r>
      <w:r>
        <w:rPr>
          <w:rFonts w:hint="eastAsia" w:ascii="宋体" w:hAnsi="宋体"/>
          <w:sz w:val="28"/>
          <w:szCs w:val="28"/>
          <w:lang w:eastAsia="zh-CN"/>
        </w:rPr>
        <w:t>优秀</w:t>
      </w:r>
      <w:r>
        <w:rPr>
          <w:rFonts w:hint="eastAsia" w:ascii="宋体" w:hAnsi="宋体"/>
          <w:sz w:val="28"/>
          <w:szCs w:val="28"/>
        </w:rPr>
        <w:t>的法官助理人才，提高全省法院法官助理职业能力水平，结合工作实际，省法院与省总工会决定联合主办2024年福建法院</w:t>
      </w:r>
      <w:r>
        <w:rPr>
          <w:rFonts w:hint="eastAsia" w:ascii="宋体" w:hAnsi="宋体"/>
          <w:sz w:val="28"/>
          <w:szCs w:val="28"/>
          <w:lang w:eastAsia="zh-CN"/>
        </w:rPr>
        <w:t>法官助理</w:t>
      </w:r>
      <w:r>
        <w:rPr>
          <w:rFonts w:hint="eastAsia" w:ascii="宋体" w:hAnsi="宋体"/>
          <w:sz w:val="28"/>
          <w:szCs w:val="28"/>
        </w:rPr>
        <w:t>技能竞赛，省直机关工会工委协办。主要服务内容：采购</w:t>
      </w:r>
      <w:r>
        <w:rPr>
          <w:rFonts w:hint="eastAsia" w:ascii="宋体" w:hAnsi="宋体"/>
          <w:sz w:val="28"/>
          <w:szCs w:val="28"/>
          <w:lang w:eastAsia="zh-CN"/>
        </w:rPr>
        <w:t>法官助理</w:t>
      </w:r>
      <w:r>
        <w:rPr>
          <w:rFonts w:hint="eastAsia" w:ascii="宋体" w:hAnsi="宋体"/>
          <w:sz w:val="28"/>
          <w:szCs w:val="28"/>
        </w:rPr>
        <w:t>技能竞赛决赛阶段审理报告写作、案件汇报、法学知识竞答3个竞赛内容的命题、评委邀请、阅卷评分、场地布置、颁奖材料采购等全流程服务。</w:t>
      </w:r>
      <w:r>
        <w:rPr>
          <w:rFonts w:hint="eastAsia" w:ascii="宋体" w:hAnsi="宋体"/>
          <w:sz w:val="28"/>
          <w:szCs w:val="28"/>
          <w:lang w:eastAsia="zh-CN"/>
        </w:rPr>
        <w:t>全省</w:t>
      </w:r>
      <w:r>
        <w:rPr>
          <w:rFonts w:hint="eastAsia" w:ascii="宋体" w:hAnsi="宋体"/>
          <w:sz w:val="28"/>
          <w:szCs w:val="28"/>
        </w:rPr>
        <w:t>13支代表队</w:t>
      </w:r>
      <w:r>
        <w:rPr>
          <w:rFonts w:hint="eastAsia" w:ascii="宋体" w:hAnsi="宋体"/>
          <w:sz w:val="28"/>
          <w:szCs w:val="28"/>
          <w:lang w:eastAsia="zh-CN"/>
        </w:rPr>
        <w:t>，</w:t>
      </w:r>
      <w:r>
        <w:rPr>
          <w:rFonts w:hint="eastAsia" w:ascii="宋体" w:hAnsi="宋体"/>
          <w:sz w:val="28"/>
          <w:szCs w:val="28"/>
        </w:rPr>
        <w:t>每支代表队选拔4名选手，包含刑事、民事、行政、执行条线选手各1名，共52名选手进入决赛。具体包含如下内容，一是“审理报告写作”的命题及改卷</w:t>
      </w:r>
      <w:r>
        <w:rPr>
          <w:rFonts w:hint="eastAsia" w:ascii="宋体" w:hAnsi="宋体"/>
          <w:sz w:val="28"/>
          <w:szCs w:val="28"/>
          <w:lang w:eastAsia="zh-CN"/>
        </w:rPr>
        <w:t>；</w:t>
      </w:r>
      <w:r>
        <w:rPr>
          <w:rFonts w:hint="eastAsia" w:ascii="宋体" w:hAnsi="宋体"/>
          <w:sz w:val="28"/>
          <w:szCs w:val="28"/>
        </w:rPr>
        <w:t>二是“案件汇报”的评委邀请、场地布置、面试系统的采购</w:t>
      </w:r>
      <w:r>
        <w:rPr>
          <w:rFonts w:hint="eastAsia" w:ascii="宋体" w:hAnsi="宋体"/>
          <w:sz w:val="28"/>
          <w:szCs w:val="28"/>
          <w:lang w:eastAsia="zh-CN"/>
        </w:rPr>
        <w:t>；</w:t>
      </w:r>
      <w:r>
        <w:rPr>
          <w:rFonts w:hint="eastAsia" w:ascii="宋体" w:hAnsi="宋体"/>
          <w:sz w:val="28"/>
          <w:szCs w:val="28"/>
        </w:rPr>
        <w:t>三是“法学知识竞答”的命题、专家现场评审、抢答设备租赁、现场舞台搭建及场地布置等。</w:t>
      </w:r>
    </w:p>
    <w:p>
      <w:pPr>
        <w:pStyle w:val="5"/>
        <w:spacing w:before="0" w:after="0" w:line="240" w:lineRule="auto"/>
      </w:pPr>
      <w:bookmarkStart w:id="42" w:name="_Toc908517672"/>
      <w:bookmarkStart w:id="43" w:name="_Toc10380"/>
      <w:bookmarkStart w:id="44" w:name="_Toc476465824"/>
      <w:bookmarkStart w:id="45" w:name="_Toc865269306"/>
      <w:bookmarkStart w:id="46" w:name="_Toc1984943064"/>
      <w:r>
        <w:rPr>
          <w:rFonts w:hint="eastAsia"/>
        </w:rPr>
        <w:t xml:space="preserve">   2.招标内容</w:t>
      </w:r>
      <w:bookmarkEnd w:id="41"/>
      <w:bookmarkEnd w:id="42"/>
      <w:bookmarkEnd w:id="43"/>
      <w:bookmarkEnd w:id="44"/>
      <w:bookmarkEnd w:id="45"/>
      <w:bookmarkEnd w:id="46"/>
    </w:p>
    <w:p>
      <w:pPr>
        <w:ind w:firstLine="562" w:firstLineChars="200"/>
        <w:rPr>
          <w:rFonts w:ascii="宋体" w:hAnsi="宋体" w:cs="宋体"/>
          <w:b/>
          <w:bCs/>
          <w:sz w:val="28"/>
          <w:szCs w:val="28"/>
        </w:rPr>
      </w:pPr>
      <w:bookmarkStart w:id="47" w:name="_Hlk12896639"/>
      <w:r>
        <w:rPr>
          <w:rFonts w:hint="eastAsia" w:ascii="宋体" w:hAnsi="宋体" w:cs="宋体"/>
          <w:b/>
          <w:bCs/>
          <w:sz w:val="28"/>
          <w:szCs w:val="28"/>
        </w:rPr>
        <w:t>2.1 服务清单</w:t>
      </w:r>
    </w:p>
    <w:p>
      <w:pPr>
        <w:ind w:firstLine="480"/>
        <w:rPr>
          <w:rFonts w:ascii="宋体" w:hAnsi="宋体" w:cs="宋体"/>
          <w:sz w:val="28"/>
          <w:szCs w:val="28"/>
          <w:lang w:val="zh-CN"/>
        </w:rPr>
      </w:pPr>
      <w:r>
        <w:rPr>
          <w:rFonts w:hint="eastAsia" w:ascii="宋体" w:hAnsi="宋体" w:cs="宋体"/>
          <w:sz w:val="28"/>
          <w:szCs w:val="28"/>
          <w:lang w:val="zh-CN"/>
        </w:rPr>
        <w:t>供应商提供采购人所需的服务，</w:t>
      </w:r>
      <w:bookmarkEnd w:id="47"/>
      <w:r>
        <w:rPr>
          <w:rFonts w:hint="eastAsia" w:ascii="宋体" w:hAnsi="宋体" w:cs="宋体"/>
          <w:sz w:val="28"/>
          <w:szCs w:val="28"/>
          <w:lang w:val="zh-CN"/>
        </w:rPr>
        <w:t>具体招标服务清单如下：</w:t>
      </w:r>
    </w:p>
    <w:tbl>
      <w:tblPr>
        <w:tblStyle w:val="21"/>
        <w:tblpPr w:leftFromText="180" w:rightFromText="180" w:vertAnchor="text" w:horzAnchor="margin" w:tblpY="352"/>
        <w:tblOverlap w:val="never"/>
        <w:tblW w:w="8831" w:type="dxa"/>
        <w:tblInd w:w="0" w:type="dxa"/>
        <w:tblLayout w:type="fixed"/>
        <w:tblCellMar>
          <w:top w:w="0" w:type="dxa"/>
          <w:left w:w="0" w:type="dxa"/>
          <w:bottom w:w="0" w:type="dxa"/>
          <w:right w:w="0" w:type="dxa"/>
        </w:tblCellMar>
      </w:tblPr>
      <w:tblGrid>
        <w:gridCol w:w="993"/>
        <w:gridCol w:w="1146"/>
        <w:gridCol w:w="3685"/>
        <w:gridCol w:w="795"/>
        <w:gridCol w:w="802"/>
        <w:gridCol w:w="1410"/>
      </w:tblGrid>
      <w:tr>
        <w:tblPrEx>
          <w:tblLayout w:type="fixed"/>
          <w:tblCellMar>
            <w:top w:w="0" w:type="dxa"/>
            <w:left w:w="0" w:type="dxa"/>
            <w:bottom w:w="0" w:type="dxa"/>
            <w:right w:w="0" w:type="dxa"/>
          </w:tblCellMar>
        </w:tblPrEx>
        <w:trPr>
          <w:trHeight w:val="670" w:hRule="atLeast"/>
        </w:trPr>
        <w:tc>
          <w:tcPr>
            <w:tcW w:w="213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center"/>
              <w:textAlignment w:val="center"/>
              <w:rPr>
                <w:b/>
                <w:color w:val="000000"/>
                <w:kern w:val="0"/>
                <w:sz w:val="24"/>
              </w:rPr>
            </w:pPr>
            <w:r>
              <w:rPr>
                <w:b/>
                <w:color w:val="000000"/>
                <w:kern w:val="0"/>
                <w:sz w:val="24"/>
              </w:rPr>
              <w:t>内  容</w:t>
            </w:r>
          </w:p>
        </w:tc>
        <w:tc>
          <w:tcPr>
            <w:tcW w:w="36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b/>
                <w:color w:val="000000"/>
                <w:kern w:val="0"/>
                <w:sz w:val="24"/>
              </w:rPr>
            </w:pPr>
            <w:r>
              <w:rPr>
                <w:b/>
                <w:color w:val="000000"/>
                <w:kern w:val="0"/>
                <w:sz w:val="24"/>
              </w:rPr>
              <w:t>服务标准</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center"/>
              <w:textAlignment w:val="center"/>
              <w:rPr>
                <w:b/>
                <w:color w:val="000000"/>
                <w:sz w:val="24"/>
              </w:rPr>
            </w:pPr>
            <w:r>
              <w:rPr>
                <w:rFonts w:hint="eastAsia"/>
                <w:b/>
                <w:color w:val="000000"/>
                <w:kern w:val="0"/>
                <w:sz w:val="24"/>
              </w:rPr>
              <w:t>单位</w:t>
            </w: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center"/>
              <w:textAlignment w:val="center"/>
              <w:rPr>
                <w:b/>
                <w:color w:val="000000"/>
                <w:sz w:val="24"/>
              </w:rPr>
            </w:pPr>
            <w:r>
              <w:rPr>
                <w:b/>
                <w:color w:val="000000"/>
                <w:kern w:val="0"/>
                <w:sz w:val="24"/>
              </w:rPr>
              <w:t>数量</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center"/>
              <w:textAlignment w:val="center"/>
              <w:rPr>
                <w:b/>
                <w:color w:val="000000"/>
                <w:sz w:val="24"/>
              </w:rPr>
            </w:pPr>
            <w:r>
              <w:rPr>
                <w:b/>
                <w:color w:val="000000"/>
                <w:kern w:val="0"/>
                <w:sz w:val="24"/>
              </w:rPr>
              <w:t>预算金额（元）</w:t>
            </w:r>
          </w:p>
        </w:tc>
      </w:tr>
      <w:tr>
        <w:tblPrEx>
          <w:tblLayout w:type="fixed"/>
          <w:tblCellMar>
            <w:top w:w="0" w:type="dxa"/>
            <w:left w:w="0" w:type="dxa"/>
            <w:bottom w:w="0" w:type="dxa"/>
            <w:right w:w="0" w:type="dxa"/>
          </w:tblCellMar>
        </w:tblPrEx>
        <w:trPr>
          <w:trHeight w:val="638" w:hRule="atLeast"/>
        </w:trPr>
        <w:tc>
          <w:tcPr>
            <w:tcW w:w="99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center"/>
              <w:textAlignment w:val="center"/>
              <w:rPr>
                <w:rFonts w:eastAsia="仿宋_GB2312"/>
                <w:b/>
                <w:color w:val="000000"/>
                <w:kern w:val="0"/>
                <w:sz w:val="24"/>
              </w:rPr>
            </w:pPr>
            <w:r>
              <w:rPr>
                <w:rFonts w:eastAsia="仿宋_GB2312"/>
                <w:b/>
                <w:color w:val="000000"/>
                <w:kern w:val="0"/>
                <w:sz w:val="24"/>
              </w:rPr>
              <w:t>审理</w:t>
            </w:r>
          </w:p>
          <w:p>
            <w:pPr>
              <w:widowControl/>
              <w:jc w:val="center"/>
              <w:textAlignment w:val="center"/>
              <w:rPr>
                <w:rFonts w:eastAsia="仿宋_GB2312"/>
                <w:b/>
                <w:color w:val="000000"/>
                <w:kern w:val="0"/>
                <w:sz w:val="24"/>
              </w:rPr>
            </w:pPr>
            <w:r>
              <w:rPr>
                <w:rFonts w:eastAsia="仿宋_GB2312"/>
                <w:b/>
                <w:color w:val="000000"/>
                <w:kern w:val="0"/>
                <w:sz w:val="24"/>
              </w:rPr>
              <w:t>报告</w:t>
            </w:r>
          </w:p>
          <w:p>
            <w:pPr>
              <w:widowControl/>
              <w:jc w:val="center"/>
              <w:textAlignment w:val="center"/>
              <w:rPr>
                <w:rFonts w:eastAsia="仿宋_GB2312"/>
                <w:b/>
                <w:color w:val="000000"/>
                <w:sz w:val="24"/>
              </w:rPr>
            </w:pPr>
            <w:r>
              <w:rPr>
                <w:rFonts w:eastAsia="仿宋_GB2312"/>
                <w:b/>
                <w:color w:val="000000"/>
                <w:kern w:val="0"/>
                <w:sz w:val="24"/>
              </w:rPr>
              <w:t>写作</w:t>
            </w:r>
          </w:p>
        </w:tc>
        <w:tc>
          <w:tcPr>
            <w:tcW w:w="11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出题服务</w:t>
            </w:r>
          </w:p>
        </w:tc>
        <w:tc>
          <w:tcPr>
            <w:tcW w:w="36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1、按1套卷子1大题，分为刑事、民事、行政、执行4个方向，共计4套题。</w:t>
            </w:r>
          </w:p>
          <w:p>
            <w:pPr>
              <w:widowControl/>
              <w:jc w:val="left"/>
              <w:textAlignment w:val="center"/>
              <w:rPr>
                <w:rStyle w:val="27"/>
                <w:rFonts w:hint="default" w:ascii="Times New Roman" w:eastAsia="仿宋" w:cs="Times New Roman"/>
              </w:rPr>
            </w:pPr>
            <w:r>
              <w:rPr>
                <w:rStyle w:val="27"/>
                <w:rFonts w:hint="default" w:ascii="Times New Roman" w:eastAsia="仿宋" w:cs="Times New Roman"/>
              </w:rPr>
              <w:t>2、每套试卷满分为100分，根据考生答卷时间为2小时设置试卷题量。</w:t>
            </w:r>
          </w:p>
          <w:p>
            <w:pPr>
              <w:widowControl/>
              <w:jc w:val="left"/>
              <w:textAlignment w:val="center"/>
              <w:rPr>
                <w:rStyle w:val="27"/>
                <w:rFonts w:hint="default" w:ascii="Times New Roman" w:eastAsia="仿宋" w:cs="Times New Roman"/>
              </w:rPr>
            </w:pPr>
            <w:r>
              <w:rPr>
                <w:rStyle w:val="27"/>
                <w:rFonts w:hint="default" w:ascii="Times New Roman" w:eastAsia="仿宋" w:cs="Times New Roman"/>
              </w:rPr>
              <w:t>3、命题应遵守关于试卷命制环节的安全保密规定，做好人员的保密与入闱纪律教育。</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套</w:t>
            </w: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4</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20000</w:t>
            </w:r>
          </w:p>
        </w:tc>
      </w:tr>
      <w:tr>
        <w:tblPrEx>
          <w:tblLayout w:type="fixed"/>
          <w:tblCellMar>
            <w:top w:w="0" w:type="dxa"/>
            <w:left w:w="0" w:type="dxa"/>
            <w:bottom w:w="0" w:type="dxa"/>
            <w:right w:w="0" w:type="dxa"/>
          </w:tblCellMar>
        </w:tblPrEx>
        <w:trPr>
          <w:trHeight w:val="506" w:hRule="atLeast"/>
        </w:trPr>
        <w:tc>
          <w:tcPr>
            <w:tcW w:w="99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eastAsia="仿宋_GB2312"/>
                <w:b/>
                <w:color w:val="000000"/>
                <w:sz w:val="24"/>
              </w:rPr>
            </w:pPr>
          </w:p>
        </w:tc>
        <w:tc>
          <w:tcPr>
            <w:tcW w:w="11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改卷服务</w:t>
            </w:r>
          </w:p>
        </w:tc>
        <w:tc>
          <w:tcPr>
            <w:tcW w:w="36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1、按刑事、民事、行政、执行4套卷子分别改卷。</w:t>
            </w:r>
          </w:p>
          <w:p>
            <w:pPr>
              <w:widowControl/>
              <w:jc w:val="left"/>
              <w:textAlignment w:val="center"/>
              <w:rPr>
                <w:rStyle w:val="27"/>
                <w:rFonts w:hint="default" w:ascii="Times New Roman" w:eastAsia="仿宋" w:cs="Times New Roman"/>
              </w:rPr>
            </w:pPr>
            <w:r>
              <w:rPr>
                <w:rStyle w:val="27"/>
                <w:rFonts w:hint="default" w:ascii="Times New Roman" w:eastAsia="仿宋" w:cs="Times New Roman"/>
              </w:rPr>
              <w:t>2、改卷模式采取专家评委双评。</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人</w:t>
            </w: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8</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4800</w:t>
            </w:r>
          </w:p>
        </w:tc>
      </w:tr>
      <w:tr>
        <w:tblPrEx>
          <w:tblLayout w:type="fixed"/>
          <w:tblCellMar>
            <w:top w:w="0" w:type="dxa"/>
            <w:left w:w="0" w:type="dxa"/>
            <w:bottom w:w="0" w:type="dxa"/>
            <w:right w:w="0" w:type="dxa"/>
          </w:tblCellMar>
        </w:tblPrEx>
        <w:trPr>
          <w:trHeight w:val="507" w:hRule="atLeast"/>
        </w:trPr>
        <w:tc>
          <w:tcPr>
            <w:tcW w:w="99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center"/>
              <w:textAlignment w:val="center"/>
              <w:rPr>
                <w:rFonts w:eastAsia="仿宋_GB2312"/>
                <w:b/>
                <w:color w:val="000000"/>
                <w:kern w:val="0"/>
                <w:sz w:val="24"/>
              </w:rPr>
            </w:pPr>
            <w:r>
              <w:rPr>
                <w:rFonts w:eastAsia="仿宋_GB2312"/>
                <w:b/>
                <w:color w:val="000000"/>
                <w:kern w:val="0"/>
                <w:sz w:val="24"/>
              </w:rPr>
              <w:t>案件</w:t>
            </w:r>
          </w:p>
          <w:p>
            <w:pPr>
              <w:widowControl/>
              <w:jc w:val="center"/>
              <w:textAlignment w:val="center"/>
              <w:rPr>
                <w:rFonts w:eastAsia="仿宋_GB2312"/>
                <w:b/>
                <w:color w:val="000000"/>
                <w:sz w:val="24"/>
              </w:rPr>
            </w:pPr>
            <w:r>
              <w:rPr>
                <w:rFonts w:eastAsia="仿宋_GB2312"/>
                <w:b/>
                <w:color w:val="000000"/>
                <w:kern w:val="0"/>
                <w:sz w:val="24"/>
              </w:rPr>
              <w:t>汇报</w:t>
            </w:r>
          </w:p>
        </w:tc>
        <w:tc>
          <w:tcPr>
            <w:tcW w:w="11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安排专家评委</w:t>
            </w:r>
          </w:p>
        </w:tc>
        <w:tc>
          <w:tcPr>
            <w:tcW w:w="36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1、每组邀请7名专家现场打分。</w:t>
            </w:r>
          </w:p>
          <w:p>
            <w:pPr>
              <w:widowControl/>
              <w:jc w:val="left"/>
              <w:textAlignment w:val="center"/>
              <w:rPr>
                <w:rStyle w:val="27"/>
                <w:rFonts w:hint="default" w:ascii="Times New Roman" w:eastAsia="仿宋" w:cs="Times New Roman"/>
              </w:rPr>
            </w:pPr>
            <w:r>
              <w:rPr>
                <w:rStyle w:val="27"/>
                <w:rFonts w:hint="default" w:ascii="Times New Roman" w:eastAsia="仿宋" w:cs="Times New Roman"/>
              </w:rPr>
              <w:t>2、共需7人*4组=28人。</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人</w:t>
            </w: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28</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8400</w:t>
            </w:r>
          </w:p>
        </w:tc>
      </w:tr>
      <w:tr>
        <w:tblPrEx>
          <w:tblLayout w:type="fixed"/>
          <w:tblCellMar>
            <w:top w:w="0" w:type="dxa"/>
            <w:left w:w="0" w:type="dxa"/>
            <w:bottom w:w="0" w:type="dxa"/>
            <w:right w:w="0" w:type="dxa"/>
          </w:tblCellMar>
        </w:tblPrEx>
        <w:trPr>
          <w:trHeight w:val="765" w:hRule="atLeast"/>
        </w:trPr>
        <w:tc>
          <w:tcPr>
            <w:tcW w:w="99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eastAsia="仿宋_GB2312"/>
                <w:b/>
                <w:color w:val="000000"/>
                <w:sz w:val="24"/>
              </w:rPr>
            </w:pPr>
          </w:p>
        </w:tc>
        <w:tc>
          <w:tcPr>
            <w:tcW w:w="11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提供考务工作人员</w:t>
            </w:r>
          </w:p>
        </w:tc>
        <w:tc>
          <w:tcPr>
            <w:tcW w:w="36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1、设置记分、核分、引导、计时4组，4人1组，共需4人*4组=16人。</w:t>
            </w:r>
          </w:p>
          <w:p>
            <w:pPr>
              <w:widowControl/>
              <w:jc w:val="left"/>
              <w:textAlignment w:val="center"/>
              <w:rPr>
                <w:rStyle w:val="27"/>
                <w:rFonts w:hint="default" w:ascii="Times New Roman" w:eastAsia="仿宋" w:cs="Times New Roman"/>
              </w:rPr>
            </w:pPr>
            <w:r>
              <w:rPr>
                <w:rStyle w:val="27"/>
                <w:rFonts w:hint="default" w:ascii="Times New Roman" w:eastAsia="仿宋" w:cs="Times New Roman"/>
              </w:rPr>
              <w:t>2、提供候考3人，机动3人，医务1人，协调2人，巡考5人。</w:t>
            </w:r>
          </w:p>
          <w:p>
            <w:pPr>
              <w:pStyle w:val="2"/>
              <w:rPr>
                <w:rStyle w:val="27"/>
                <w:rFonts w:hint="default" w:ascii="Times New Roman" w:hAnsi="Times New Roman" w:eastAsia="仿宋" w:cs="Times New Roman"/>
                <w:kern w:val="2"/>
              </w:rPr>
            </w:pPr>
            <w:r>
              <w:rPr>
                <w:rStyle w:val="27"/>
                <w:rFonts w:hint="default" w:ascii="Times New Roman" w:hAnsi="Times New Roman" w:eastAsia="仿宋" w:cs="Times New Roman"/>
                <w:kern w:val="2"/>
              </w:rPr>
              <w:t>上述合计30人</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人</w:t>
            </w: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6</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1500</w:t>
            </w:r>
          </w:p>
        </w:tc>
      </w:tr>
      <w:tr>
        <w:tblPrEx>
          <w:tblLayout w:type="fixed"/>
          <w:tblCellMar>
            <w:top w:w="0" w:type="dxa"/>
            <w:left w:w="0" w:type="dxa"/>
            <w:bottom w:w="0" w:type="dxa"/>
            <w:right w:w="0" w:type="dxa"/>
          </w:tblCellMar>
        </w:tblPrEx>
        <w:trPr>
          <w:trHeight w:val="438" w:hRule="atLeast"/>
        </w:trPr>
        <w:tc>
          <w:tcPr>
            <w:tcW w:w="99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eastAsia="仿宋_GB2312"/>
                <w:b/>
                <w:color w:val="000000"/>
                <w:sz w:val="24"/>
              </w:rPr>
            </w:pPr>
          </w:p>
        </w:tc>
        <w:tc>
          <w:tcPr>
            <w:tcW w:w="11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场地布置</w:t>
            </w:r>
          </w:p>
        </w:tc>
        <w:tc>
          <w:tcPr>
            <w:tcW w:w="36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提供指示牌、工作牌、桌牌、号码牌、秒表、时钟、办公用品等。</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Style w:val="27"/>
                <w:rFonts w:hint="default" w:ascii="Times New Roman" w:eastAsia="仿宋" w:cs="Times New Roman"/>
              </w:rPr>
            </w:pPr>
            <w:r>
              <w:rPr>
                <w:rStyle w:val="27"/>
                <w:rFonts w:hint="default" w:ascii="Times New Roman" w:eastAsia="仿宋" w:cs="Times New Roman"/>
              </w:rPr>
              <w:t>次</w:t>
            </w: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Style w:val="27"/>
                <w:rFonts w:hint="default" w:ascii="Times New Roman" w:eastAsia="仿宋" w:cs="Times New Roman"/>
              </w:rPr>
            </w:pPr>
            <w:r>
              <w:rPr>
                <w:rStyle w:val="27"/>
                <w:rFonts w:hint="default" w:ascii="Times New Roman" w:eastAsia="仿宋" w:cs="Times New Roman"/>
              </w:rPr>
              <w:t>1</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2000</w:t>
            </w:r>
          </w:p>
        </w:tc>
      </w:tr>
      <w:tr>
        <w:tblPrEx>
          <w:tblLayout w:type="fixed"/>
          <w:tblCellMar>
            <w:top w:w="0" w:type="dxa"/>
            <w:left w:w="0" w:type="dxa"/>
            <w:bottom w:w="0" w:type="dxa"/>
            <w:right w:w="0" w:type="dxa"/>
          </w:tblCellMar>
        </w:tblPrEx>
        <w:trPr>
          <w:trHeight w:val="474" w:hRule="atLeast"/>
        </w:trPr>
        <w:tc>
          <w:tcPr>
            <w:tcW w:w="993" w:type="dxa"/>
            <w:vMerge w:val="restart"/>
            <w:tcBorders>
              <w:top w:val="single" w:color="000000" w:sz="4" w:space="0"/>
              <w:left w:val="single" w:color="000000" w:sz="4" w:space="0"/>
              <w:right w:val="single" w:color="000000" w:sz="4" w:space="0"/>
            </w:tcBorders>
            <w:shd w:val="clear" w:color="auto" w:fill="auto"/>
            <w:tcMar>
              <w:top w:w="12" w:type="dxa"/>
              <w:left w:w="12" w:type="dxa"/>
              <w:right w:w="12" w:type="dxa"/>
            </w:tcMar>
            <w:vAlign w:val="center"/>
          </w:tcPr>
          <w:p>
            <w:pPr>
              <w:widowControl/>
              <w:jc w:val="center"/>
              <w:textAlignment w:val="center"/>
              <w:rPr>
                <w:rFonts w:eastAsia="仿宋_GB2312"/>
                <w:b/>
                <w:color w:val="000000"/>
                <w:kern w:val="0"/>
                <w:sz w:val="24"/>
              </w:rPr>
            </w:pPr>
            <w:r>
              <w:rPr>
                <w:rFonts w:eastAsia="仿宋_GB2312"/>
                <w:b/>
                <w:color w:val="000000"/>
                <w:kern w:val="0"/>
                <w:sz w:val="24"/>
              </w:rPr>
              <w:t>法学</w:t>
            </w:r>
          </w:p>
          <w:p>
            <w:pPr>
              <w:widowControl/>
              <w:jc w:val="center"/>
              <w:textAlignment w:val="center"/>
              <w:rPr>
                <w:rFonts w:eastAsia="仿宋_GB2312"/>
                <w:b/>
                <w:color w:val="000000"/>
                <w:kern w:val="0"/>
                <w:sz w:val="24"/>
              </w:rPr>
            </w:pPr>
            <w:r>
              <w:rPr>
                <w:rFonts w:eastAsia="仿宋_GB2312"/>
                <w:b/>
                <w:color w:val="000000"/>
                <w:kern w:val="0"/>
                <w:sz w:val="24"/>
              </w:rPr>
              <w:t>知识</w:t>
            </w:r>
          </w:p>
          <w:p>
            <w:pPr>
              <w:widowControl/>
              <w:jc w:val="center"/>
              <w:textAlignment w:val="center"/>
              <w:rPr>
                <w:rFonts w:eastAsia="仿宋_GB2312"/>
                <w:b/>
                <w:color w:val="000000"/>
                <w:sz w:val="24"/>
              </w:rPr>
            </w:pPr>
            <w:r>
              <w:rPr>
                <w:rFonts w:eastAsia="仿宋_GB2312"/>
                <w:b/>
                <w:color w:val="000000"/>
                <w:kern w:val="0"/>
                <w:sz w:val="24"/>
              </w:rPr>
              <w:t>竞答</w:t>
            </w:r>
          </w:p>
        </w:tc>
        <w:tc>
          <w:tcPr>
            <w:tcW w:w="11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出题服务</w:t>
            </w:r>
          </w:p>
        </w:tc>
        <w:tc>
          <w:tcPr>
            <w:tcW w:w="36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1、题目包含必答题，抢答题，风险题</w:t>
            </w:r>
            <w:r>
              <w:rPr>
                <w:rStyle w:val="27"/>
                <w:rFonts w:hint="eastAsia" w:eastAsia="仿宋" w:cs="Times New Roman"/>
                <w:lang w:eastAsia="zh-CN"/>
              </w:rPr>
              <w:t>，题目数量应达到</w:t>
            </w:r>
            <w:r>
              <w:rPr>
                <w:rStyle w:val="27"/>
                <w:rFonts w:hint="eastAsia" w:eastAsia="仿宋" w:cs="Times New Roman"/>
                <w:lang w:val="en-US" w:eastAsia="zh-CN"/>
              </w:rPr>
              <w:t>200道</w:t>
            </w:r>
            <w:r>
              <w:rPr>
                <w:rStyle w:val="27"/>
                <w:rFonts w:hint="default" w:ascii="Times New Roman" w:eastAsia="仿宋" w:cs="Times New Roman"/>
              </w:rPr>
              <w:t>。</w:t>
            </w:r>
          </w:p>
          <w:p>
            <w:pPr>
              <w:pStyle w:val="2"/>
              <w:rPr>
                <w:rStyle w:val="27"/>
                <w:rFonts w:hint="default" w:ascii="Times New Roman" w:hAnsi="Times New Roman" w:eastAsia="仿宋" w:cs="Times New Roman"/>
                <w:kern w:val="2"/>
              </w:rPr>
            </w:pPr>
            <w:r>
              <w:rPr>
                <w:rStyle w:val="27"/>
                <w:rFonts w:hint="default" w:ascii="Times New Roman" w:hAnsi="Times New Roman" w:eastAsia="仿宋" w:cs="Times New Roman"/>
                <w:kern w:val="2"/>
              </w:rPr>
              <w:t>2、命题应遵守关于试卷命制环节的安全保密规定，做好人员的保密与入闱纪律教育。</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套</w:t>
            </w: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1.5</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10500</w:t>
            </w:r>
          </w:p>
        </w:tc>
      </w:tr>
      <w:tr>
        <w:tblPrEx>
          <w:tblLayout w:type="fixed"/>
          <w:tblCellMar>
            <w:top w:w="0" w:type="dxa"/>
            <w:left w:w="0" w:type="dxa"/>
            <w:bottom w:w="0" w:type="dxa"/>
            <w:right w:w="0" w:type="dxa"/>
          </w:tblCellMar>
        </w:tblPrEx>
        <w:trPr>
          <w:trHeight w:val="639" w:hRule="atLeast"/>
        </w:trPr>
        <w:tc>
          <w:tcPr>
            <w:tcW w:w="993" w:type="dxa"/>
            <w:vMerge w:val="continue"/>
            <w:tcBorders>
              <w:left w:val="single" w:color="000000" w:sz="4" w:space="0"/>
              <w:right w:val="single" w:color="000000" w:sz="4" w:space="0"/>
            </w:tcBorders>
            <w:shd w:val="clear" w:color="auto" w:fill="auto"/>
            <w:tcMar>
              <w:top w:w="12" w:type="dxa"/>
              <w:left w:w="12" w:type="dxa"/>
              <w:right w:w="12" w:type="dxa"/>
            </w:tcMar>
            <w:vAlign w:val="center"/>
          </w:tcPr>
          <w:p>
            <w:pPr>
              <w:widowControl/>
              <w:jc w:val="center"/>
              <w:textAlignment w:val="center"/>
              <w:rPr>
                <w:rFonts w:eastAsia="仿宋_GB2312"/>
                <w:b/>
                <w:color w:val="000000"/>
                <w:sz w:val="24"/>
              </w:rPr>
            </w:pPr>
          </w:p>
        </w:tc>
        <w:tc>
          <w:tcPr>
            <w:tcW w:w="11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安排评审专家</w:t>
            </w:r>
          </w:p>
        </w:tc>
        <w:tc>
          <w:tcPr>
            <w:tcW w:w="36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安排3位专家现场评审，需要提前半天安排评议。</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人</w:t>
            </w: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3</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1800</w:t>
            </w:r>
          </w:p>
        </w:tc>
      </w:tr>
      <w:tr>
        <w:tblPrEx>
          <w:tblLayout w:type="fixed"/>
          <w:tblCellMar>
            <w:top w:w="0" w:type="dxa"/>
            <w:left w:w="0" w:type="dxa"/>
            <w:bottom w:w="0" w:type="dxa"/>
            <w:right w:w="0" w:type="dxa"/>
          </w:tblCellMar>
        </w:tblPrEx>
        <w:trPr>
          <w:trHeight w:val="588" w:hRule="atLeast"/>
        </w:trPr>
        <w:tc>
          <w:tcPr>
            <w:tcW w:w="993" w:type="dxa"/>
            <w:vMerge w:val="continue"/>
            <w:tcBorders>
              <w:left w:val="single" w:color="000000" w:sz="4" w:space="0"/>
              <w:right w:val="single" w:color="000000" w:sz="4" w:space="0"/>
            </w:tcBorders>
            <w:shd w:val="clear" w:color="auto" w:fill="auto"/>
            <w:tcMar>
              <w:top w:w="12" w:type="dxa"/>
              <w:left w:w="12" w:type="dxa"/>
              <w:right w:w="12" w:type="dxa"/>
            </w:tcMar>
            <w:vAlign w:val="center"/>
          </w:tcPr>
          <w:p>
            <w:pPr>
              <w:jc w:val="center"/>
              <w:rPr>
                <w:rFonts w:eastAsia="仿宋_GB2312"/>
                <w:b/>
                <w:color w:val="000000"/>
                <w:sz w:val="24"/>
              </w:rPr>
            </w:pPr>
          </w:p>
        </w:tc>
        <w:tc>
          <w:tcPr>
            <w:tcW w:w="11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提供考务工作人员</w:t>
            </w:r>
          </w:p>
        </w:tc>
        <w:tc>
          <w:tcPr>
            <w:tcW w:w="36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提供技术及服务人员10人次，以上含彩排1次+竞赛当天</w:t>
            </w:r>
            <w:r>
              <w:rPr>
                <w:rStyle w:val="27"/>
                <w:rFonts w:hint="eastAsia" w:eastAsia="仿宋" w:cs="Times New Roman"/>
                <w:lang w:eastAsia="zh-CN"/>
              </w:rPr>
              <w:t>全程保障</w:t>
            </w:r>
            <w:r>
              <w:rPr>
                <w:rStyle w:val="27"/>
                <w:rFonts w:hint="default" w:ascii="Times New Roman" w:eastAsia="仿宋" w:cs="Times New Roman"/>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人</w:t>
            </w: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5</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750</w:t>
            </w:r>
          </w:p>
        </w:tc>
      </w:tr>
      <w:tr>
        <w:tblPrEx>
          <w:tblLayout w:type="fixed"/>
          <w:tblCellMar>
            <w:top w:w="0" w:type="dxa"/>
            <w:left w:w="0" w:type="dxa"/>
            <w:bottom w:w="0" w:type="dxa"/>
            <w:right w:w="0" w:type="dxa"/>
          </w:tblCellMar>
        </w:tblPrEx>
        <w:trPr>
          <w:trHeight w:val="551" w:hRule="atLeast"/>
        </w:trPr>
        <w:tc>
          <w:tcPr>
            <w:tcW w:w="993" w:type="dxa"/>
            <w:vMerge w:val="continue"/>
            <w:tcBorders>
              <w:left w:val="single" w:color="000000" w:sz="4" w:space="0"/>
              <w:right w:val="single" w:color="000000" w:sz="4" w:space="0"/>
            </w:tcBorders>
            <w:shd w:val="clear" w:color="auto" w:fill="auto"/>
            <w:tcMar>
              <w:top w:w="12" w:type="dxa"/>
              <w:left w:w="12" w:type="dxa"/>
              <w:right w:w="12" w:type="dxa"/>
            </w:tcMar>
            <w:vAlign w:val="center"/>
          </w:tcPr>
          <w:p>
            <w:pPr>
              <w:jc w:val="center"/>
              <w:rPr>
                <w:rFonts w:eastAsia="仿宋_GB2312"/>
                <w:b/>
                <w:color w:val="000000"/>
                <w:sz w:val="24"/>
              </w:rPr>
            </w:pPr>
          </w:p>
        </w:tc>
        <w:tc>
          <w:tcPr>
            <w:tcW w:w="11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提供抢答设备</w:t>
            </w:r>
          </w:p>
        </w:tc>
        <w:tc>
          <w:tcPr>
            <w:tcW w:w="36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1、提供录题软件、话筒、抢答器、无线记分屏等按13组计算。</w:t>
            </w:r>
          </w:p>
          <w:p>
            <w:pPr>
              <w:widowControl/>
              <w:jc w:val="left"/>
              <w:textAlignment w:val="center"/>
              <w:rPr>
                <w:rStyle w:val="27"/>
                <w:rFonts w:hint="default" w:ascii="Times New Roman" w:eastAsia="仿宋" w:cs="Times New Roman"/>
              </w:rPr>
            </w:pPr>
            <w:r>
              <w:rPr>
                <w:rStyle w:val="27"/>
                <w:rFonts w:hint="default" w:ascii="Times New Roman" w:eastAsia="仿宋" w:cs="Times New Roman"/>
              </w:rPr>
              <w:t>2、提供抢答设备现场技术保障。</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Style w:val="27"/>
                <w:rFonts w:hint="default" w:ascii="Times New Roman" w:eastAsia="仿宋" w:cs="Times New Roman"/>
              </w:rPr>
            </w:pPr>
            <w:r>
              <w:rPr>
                <w:rStyle w:val="27"/>
                <w:rFonts w:hint="default" w:ascii="Times New Roman" w:eastAsia="仿宋" w:cs="Times New Roman"/>
              </w:rPr>
              <w:t>组</w:t>
            </w: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13</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14300</w:t>
            </w:r>
          </w:p>
        </w:tc>
      </w:tr>
      <w:tr>
        <w:tblPrEx>
          <w:tblLayout w:type="fixed"/>
          <w:tblCellMar>
            <w:top w:w="0" w:type="dxa"/>
            <w:left w:w="0" w:type="dxa"/>
            <w:bottom w:w="0" w:type="dxa"/>
            <w:right w:w="0" w:type="dxa"/>
          </w:tblCellMar>
        </w:tblPrEx>
        <w:trPr>
          <w:trHeight w:val="846" w:hRule="atLeast"/>
        </w:trPr>
        <w:tc>
          <w:tcPr>
            <w:tcW w:w="993" w:type="dxa"/>
            <w:vMerge w:val="continue"/>
            <w:tcBorders>
              <w:left w:val="single" w:color="000000" w:sz="4" w:space="0"/>
              <w:right w:val="single" w:color="000000" w:sz="4" w:space="0"/>
            </w:tcBorders>
            <w:shd w:val="clear" w:color="auto" w:fill="auto"/>
            <w:tcMar>
              <w:top w:w="12" w:type="dxa"/>
              <w:left w:w="12" w:type="dxa"/>
              <w:right w:w="12" w:type="dxa"/>
            </w:tcMar>
            <w:vAlign w:val="center"/>
          </w:tcPr>
          <w:p>
            <w:pPr>
              <w:jc w:val="center"/>
              <w:rPr>
                <w:rFonts w:eastAsia="仿宋_GB2312"/>
                <w:b/>
                <w:color w:val="000000"/>
                <w:sz w:val="24"/>
              </w:rPr>
            </w:pPr>
          </w:p>
        </w:tc>
        <w:tc>
          <w:tcPr>
            <w:tcW w:w="11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场地布置</w:t>
            </w:r>
          </w:p>
        </w:tc>
        <w:tc>
          <w:tcPr>
            <w:tcW w:w="36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Style w:val="27"/>
                <w:rFonts w:hint="default" w:ascii="Times New Roman" w:hAnsi="Times New Roman" w:eastAsia="仿宋" w:cs="Times New Roman"/>
                <w:lang w:val="en-US" w:eastAsia="zh-CN"/>
              </w:rPr>
            </w:pPr>
            <w:r>
              <w:rPr>
                <w:rStyle w:val="27"/>
                <w:rFonts w:hint="eastAsia" w:ascii="Times New Roman" w:hAnsi="Times New Roman" w:eastAsia="仿宋" w:cs="Times New Roman"/>
                <w:lang w:val="en-US" w:eastAsia="zh-CN"/>
              </w:rPr>
              <w:t>1.</w:t>
            </w:r>
            <w:r>
              <w:rPr>
                <w:rStyle w:val="27"/>
                <w:rFonts w:hint="default" w:ascii="Times New Roman" w:hAnsi="Times New Roman" w:eastAsia="仿宋" w:cs="Times New Roman"/>
                <w:lang w:val="en-US" w:eastAsia="zh-CN"/>
              </w:rPr>
              <w:t>提供舞台搭建（按70元/平方标准制作）、桌椅租赁、面光灯、桌布、条幅、指示牌、展板、三角牌等其他物料。</w:t>
            </w:r>
          </w:p>
          <w:p>
            <w:pPr>
              <w:widowControl/>
              <w:jc w:val="left"/>
              <w:textAlignment w:val="center"/>
              <w:rPr>
                <w:rFonts w:hint="eastAsia" w:eastAsia="宋体"/>
                <w:lang w:val="en-US" w:eastAsia="zh-CN"/>
              </w:rPr>
            </w:pPr>
            <w:r>
              <w:rPr>
                <w:rStyle w:val="27"/>
                <w:rFonts w:hint="eastAsia" w:ascii="Times New Roman" w:hAnsi="Times New Roman" w:eastAsia="仿宋" w:cs="Times New Roman"/>
                <w:lang w:val="en-US" w:eastAsia="zh-CN"/>
              </w:rPr>
              <w:t>2.舞台搭建应符合能够容纳并同时呈现13支代表队、每支4人（共52人）同台竞技的需要。</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Style w:val="27"/>
                <w:rFonts w:hint="default" w:ascii="Times New Roman" w:eastAsia="仿宋" w:cs="Times New Roman"/>
              </w:rPr>
            </w:pPr>
            <w:r>
              <w:rPr>
                <w:rStyle w:val="27"/>
                <w:rFonts w:hint="default" w:ascii="Times New Roman" w:eastAsia="仿宋" w:cs="Times New Roman"/>
              </w:rPr>
              <w:t>项</w:t>
            </w: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Style w:val="27"/>
                <w:rFonts w:hint="default" w:ascii="Times New Roman" w:eastAsia="仿宋" w:cs="Times New Roman"/>
              </w:rPr>
            </w:pPr>
            <w:r>
              <w:rPr>
                <w:rStyle w:val="27"/>
                <w:rFonts w:hint="default" w:ascii="Times New Roman" w:eastAsia="仿宋" w:cs="Times New Roman"/>
              </w:rPr>
              <w:t>1</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25000</w:t>
            </w:r>
          </w:p>
        </w:tc>
      </w:tr>
      <w:tr>
        <w:tblPrEx>
          <w:tblLayout w:type="fixed"/>
          <w:tblCellMar>
            <w:top w:w="0" w:type="dxa"/>
            <w:left w:w="0" w:type="dxa"/>
            <w:bottom w:w="0" w:type="dxa"/>
            <w:right w:w="0" w:type="dxa"/>
          </w:tblCellMar>
        </w:tblPrEx>
        <w:trPr>
          <w:trHeight w:val="555" w:hRule="atLeast"/>
        </w:trPr>
        <w:tc>
          <w:tcPr>
            <w:tcW w:w="993" w:type="dxa"/>
            <w:vMerge w:val="continue"/>
            <w:tcBorders>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eastAsia="仿宋_GB2312"/>
                <w:b/>
                <w:color w:val="000000"/>
                <w:sz w:val="24"/>
              </w:rPr>
            </w:pPr>
          </w:p>
        </w:tc>
        <w:tc>
          <w:tcPr>
            <w:tcW w:w="11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制作奖杯奖牌等</w:t>
            </w:r>
          </w:p>
        </w:tc>
        <w:tc>
          <w:tcPr>
            <w:tcW w:w="36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1、制作团体奖牌，个人奖杯，个人奖牌，团体、个人证书等。</w:t>
            </w:r>
          </w:p>
          <w:p>
            <w:pPr>
              <w:pStyle w:val="2"/>
              <w:rPr>
                <w:rStyle w:val="27"/>
                <w:rFonts w:hint="default" w:ascii="Times New Roman" w:hAnsi="Times New Roman" w:eastAsia="仿宋" w:cs="Times New Roman"/>
                <w:kern w:val="2"/>
              </w:rPr>
            </w:pPr>
            <w:r>
              <w:rPr>
                <w:rStyle w:val="27"/>
                <w:rFonts w:hint="default" w:ascii="Times New Roman" w:hAnsi="Times New Roman" w:eastAsia="仿宋" w:cs="Times New Roman"/>
                <w:kern w:val="2"/>
              </w:rPr>
              <w:t>2、奖杯奖牌符合一般省直机关开展全省技能竞赛颁发的奖杯奖牌等的制作规格。</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Style w:val="27"/>
                <w:rFonts w:hint="default" w:ascii="Times New Roman" w:eastAsia="仿宋" w:cs="Times New Roman"/>
              </w:rPr>
            </w:pPr>
            <w:r>
              <w:rPr>
                <w:rStyle w:val="27"/>
                <w:rFonts w:hint="default" w:ascii="Times New Roman" w:eastAsia="仿宋" w:cs="Times New Roman"/>
              </w:rPr>
              <w:t>项</w:t>
            </w: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Style w:val="27"/>
                <w:rFonts w:hint="default" w:ascii="Times New Roman" w:eastAsia="仿宋" w:cs="Times New Roman"/>
              </w:rPr>
            </w:pPr>
            <w:r>
              <w:rPr>
                <w:rStyle w:val="27"/>
                <w:rFonts w:hint="default" w:ascii="Times New Roman" w:eastAsia="仿宋" w:cs="Times New Roman"/>
              </w:rPr>
              <w:t>1</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2500</w:t>
            </w:r>
          </w:p>
        </w:tc>
      </w:tr>
      <w:tr>
        <w:tblPrEx>
          <w:tblLayout w:type="fixed"/>
          <w:tblCellMar>
            <w:top w:w="0" w:type="dxa"/>
            <w:left w:w="0" w:type="dxa"/>
            <w:bottom w:w="0" w:type="dxa"/>
            <w:right w:w="0" w:type="dxa"/>
          </w:tblCellMar>
        </w:tblPrEx>
        <w:trPr>
          <w:trHeight w:val="600" w:hRule="atLeast"/>
        </w:trPr>
        <w:tc>
          <w:tcPr>
            <w:tcW w:w="993" w:type="dxa"/>
            <w:tcBorders>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eastAsia="仿宋_GB2312"/>
                <w:b/>
                <w:color w:val="000000"/>
                <w:sz w:val="24"/>
              </w:rPr>
            </w:pPr>
          </w:p>
        </w:tc>
        <w:tc>
          <w:tcPr>
            <w:tcW w:w="11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服务费</w:t>
            </w:r>
          </w:p>
        </w:tc>
        <w:tc>
          <w:tcPr>
            <w:tcW w:w="36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包含提供本次服务所需要支出的人工费、差旅费、税费等其他一切相关费用。</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Style w:val="27"/>
                <w:rFonts w:hint="default" w:ascii="Times New Roman" w:eastAsia="仿宋" w:cs="Times New Roman"/>
              </w:rPr>
            </w:pPr>
            <w:r>
              <w:rPr>
                <w:rStyle w:val="27"/>
                <w:rFonts w:hint="default" w:ascii="Times New Roman" w:eastAsia="仿宋" w:cs="Times New Roman"/>
              </w:rPr>
              <w:t>项</w:t>
            </w: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Style w:val="27"/>
                <w:rFonts w:hint="default" w:ascii="Times New Roman" w:eastAsia="仿宋" w:cs="Times New Roman"/>
              </w:rPr>
            </w:pPr>
            <w:r>
              <w:rPr>
                <w:rStyle w:val="27"/>
                <w:rFonts w:hint="default" w:ascii="Times New Roman" w:eastAsia="仿宋" w:cs="Times New Roman"/>
              </w:rPr>
              <w:t>1</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25000</w:t>
            </w:r>
          </w:p>
        </w:tc>
      </w:tr>
      <w:tr>
        <w:tblPrEx>
          <w:tblLayout w:type="fixed"/>
          <w:tblCellMar>
            <w:top w:w="0" w:type="dxa"/>
            <w:left w:w="0" w:type="dxa"/>
            <w:bottom w:w="0" w:type="dxa"/>
            <w:right w:w="0" w:type="dxa"/>
          </w:tblCellMar>
        </w:tblPrEx>
        <w:trPr>
          <w:trHeight w:val="411" w:hRule="atLeast"/>
        </w:trPr>
        <w:tc>
          <w:tcPr>
            <w:tcW w:w="2139" w:type="dxa"/>
            <w:gridSpan w:val="2"/>
            <w:tcBorders>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center"/>
              <w:textAlignment w:val="center"/>
              <w:rPr>
                <w:rFonts w:eastAsia="仿宋"/>
                <w:color w:val="000000"/>
                <w:kern w:val="0"/>
                <w:sz w:val="24"/>
              </w:rPr>
            </w:pPr>
            <w:r>
              <w:rPr>
                <w:rFonts w:eastAsia="仿宋_GB2312"/>
                <w:b/>
                <w:color w:val="000000"/>
                <w:kern w:val="0"/>
                <w:sz w:val="24"/>
              </w:rPr>
              <w:t>合计</w:t>
            </w:r>
          </w:p>
        </w:tc>
        <w:tc>
          <w:tcPr>
            <w:tcW w:w="3685" w:type="dxa"/>
            <w:tcBorders>
              <w:left w:val="single" w:color="000000" w:sz="4" w:space="0"/>
              <w:bottom w:val="single" w:color="000000" w:sz="4" w:space="0"/>
              <w:right w:val="single" w:color="000000" w:sz="4" w:space="0"/>
            </w:tcBorders>
            <w:tcMar>
              <w:top w:w="12" w:type="dxa"/>
              <w:left w:w="12" w:type="dxa"/>
              <w:right w:w="12" w:type="dxa"/>
            </w:tcMar>
          </w:tcPr>
          <w:p>
            <w:pPr>
              <w:jc w:val="center"/>
              <w:rPr>
                <w:rFonts w:eastAsia="仿宋"/>
                <w:color w:val="000000"/>
                <w:sz w:val="24"/>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eastAsia="仿宋"/>
                <w:color w:val="000000"/>
                <w:sz w:val="24"/>
              </w:rPr>
            </w:pP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eastAsia="仿宋"/>
                <w:color w:val="000000"/>
                <w:sz w:val="24"/>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Fonts w:eastAsia="仿宋"/>
                <w:color w:val="000000"/>
                <w:kern w:val="0"/>
                <w:sz w:val="24"/>
              </w:rPr>
            </w:pPr>
            <w:r>
              <w:rPr>
                <w:rFonts w:hint="eastAsia" w:eastAsia="仿宋"/>
                <w:b/>
                <w:bCs/>
                <w:color w:val="000000"/>
                <w:kern w:val="0"/>
                <w:sz w:val="24"/>
              </w:rPr>
              <w:t>116550</w:t>
            </w:r>
          </w:p>
        </w:tc>
      </w:tr>
    </w:tbl>
    <w:p>
      <w:pPr>
        <w:pStyle w:val="2"/>
        <w:tabs>
          <w:tab w:val="left" w:pos="2792"/>
        </w:tabs>
        <w:rPr>
          <w:lang w:val="zh-CN"/>
        </w:rPr>
      </w:pPr>
      <w:r>
        <w:rPr>
          <w:rFonts w:hint="eastAsia"/>
          <w:lang w:val="zh-CN"/>
        </w:rPr>
        <w:tab/>
      </w:r>
    </w:p>
    <w:p>
      <w:pPr>
        <w:pStyle w:val="2"/>
        <w:tabs>
          <w:tab w:val="left" w:pos="2792"/>
        </w:tabs>
        <w:rPr>
          <w:lang w:val="zh-CN"/>
        </w:rPr>
      </w:pPr>
    </w:p>
    <w:p>
      <w:pPr>
        <w:ind w:firstLine="922" w:firstLineChars="328"/>
        <w:rPr>
          <w:rFonts w:ascii="宋体" w:hAnsi="宋体" w:cs="宋体"/>
          <w:b/>
          <w:bCs/>
          <w:sz w:val="28"/>
          <w:szCs w:val="28"/>
        </w:rPr>
      </w:pPr>
    </w:p>
    <w:p>
      <w:pPr>
        <w:ind w:firstLine="922" w:firstLineChars="328"/>
        <w:rPr>
          <w:rFonts w:ascii="宋体" w:hAnsi="宋体" w:cs="宋体"/>
          <w:b/>
          <w:bCs/>
          <w:sz w:val="28"/>
          <w:szCs w:val="28"/>
        </w:rPr>
      </w:pPr>
    </w:p>
    <w:p>
      <w:pPr>
        <w:pStyle w:val="2"/>
      </w:pPr>
    </w:p>
    <w:p>
      <w:pPr>
        <w:pStyle w:val="2"/>
      </w:pPr>
    </w:p>
    <w:p>
      <w:pPr>
        <w:ind w:firstLine="922" w:firstLineChars="328"/>
      </w:pPr>
      <w:r>
        <w:rPr>
          <w:rFonts w:hint="eastAsia" w:ascii="宋体" w:hAnsi="宋体" w:cs="宋体"/>
          <w:b/>
          <w:bCs/>
          <w:sz w:val="28"/>
          <w:szCs w:val="28"/>
        </w:rPr>
        <w:t>2.2 报价要求</w:t>
      </w:r>
    </w:p>
    <w:p>
      <w:pPr>
        <w:pStyle w:val="9"/>
        <w:numPr>
          <w:ilvl w:val="0"/>
          <w:numId w:val="2"/>
        </w:numPr>
        <w:ind w:firstLine="560" w:firstLineChars="200"/>
        <w:rPr>
          <w:rFonts w:ascii="宋体" w:hAnsi="宋体" w:eastAsia="宋体" w:cs="宋体"/>
        </w:rPr>
      </w:pPr>
      <w:r>
        <w:rPr>
          <w:rFonts w:hint="eastAsia" w:ascii="宋体" w:hAnsi="宋体" w:eastAsia="宋体" w:cs="宋体"/>
        </w:rPr>
        <w:t>各报价人应负责上述全套服务项目实施，确保所提供的服务能够满足2024年福建法院</w:t>
      </w:r>
      <w:r>
        <w:rPr>
          <w:rFonts w:hint="eastAsia" w:ascii="宋体" w:hAnsi="宋体" w:eastAsia="宋体" w:cs="宋体"/>
          <w:lang w:eastAsia="zh-CN"/>
        </w:rPr>
        <w:t>法官助理</w:t>
      </w:r>
      <w:r>
        <w:rPr>
          <w:rFonts w:hint="eastAsia" w:ascii="宋体" w:hAnsi="宋体" w:eastAsia="宋体" w:cs="宋体"/>
        </w:rPr>
        <w:t>技能竞赛项目要求，上述服务项目清单如有遗漏，请自行在投标方案中补齐，并列入投标总价中，但不能突破本项目预算总价。</w:t>
      </w:r>
    </w:p>
    <w:p>
      <w:pPr>
        <w:pStyle w:val="9"/>
        <w:numPr>
          <w:ilvl w:val="0"/>
          <w:numId w:val="2"/>
        </w:numPr>
        <w:ind w:firstLine="560" w:firstLineChars="200"/>
        <w:rPr>
          <w:rFonts w:ascii="宋体" w:hAnsi="宋体" w:eastAsia="宋体" w:cs="宋体"/>
        </w:rPr>
      </w:pPr>
      <w:r>
        <w:rPr>
          <w:rFonts w:hint="eastAsia" w:ascii="宋体" w:hAnsi="宋体" w:eastAsia="宋体" w:cs="宋体"/>
        </w:rPr>
        <w:t>上述服务清单预算价格仅供参考，各报价人可根据自身情况，对所提供设备和服务进行合理报价，但总价不得突破本项目的预算总价。</w:t>
      </w:r>
    </w:p>
    <w:p>
      <w:pPr>
        <w:pStyle w:val="5"/>
        <w:spacing w:before="0" w:after="0" w:line="240" w:lineRule="auto"/>
        <w:ind w:firstLine="643" w:firstLineChars="200"/>
      </w:pPr>
      <w:bookmarkStart w:id="48" w:name="_Toc1421124674"/>
      <w:bookmarkStart w:id="49" w:name="_Toc263489311"/>
      <w:bookmarkStart w:id="50" w:name="_Toc25016"/>
      <w:bookmarkStart w:id="51" w:name="_Toc1483660720"/>
      <w:bookmarkStart w:id="52" w:name="_Toc1472384356"/>
      <w:r>
        <w:rPr>
          <w:rFonts w:hint="eastAsia"/>
        </w:rPr>
        <w:t>3. 招标要求</w:t>
      </w:r>
      <w:bookmarkEnd w:id="48"/>
      <w:bookmarkEnd w:id="49"/>
      <w:bookmarkEnd w:id="50"/>
      <w:bookmarkEnd w:id="51"/>
      <w:bookmarkEnd w:id="52"/>
    </w:p>
    <w:p>
      <w:pPr>
        <w:jc w:val="left"/>
        <w:rPr>
          <w:rFonts w:ascii="宋体" w:hAnsi="宋体" w:cs="宋体"/>
          <w:sz w:val="28"/>
          <w:szCs w:val="28"/>
        </w:rPr>
      </w:pPr>
      <w:r>
        <w:rPr>
          <w:rFonts w:hint="eastAsia" w:ascii="宋体" w:hAnsi="宋体" w:cs="宋体"/>
          <w:b/>
          <w:bCs/>
          <w:sz w:val="28"/>
          <w:szCs w:val="28"/>
        </w:rPr>
        <w:t xml:space="preserve">   3.1 总体要求</w:t>
      </w:r>
    </w:p>
    <w:p>
      <w:pPr>
        <w:jc w:val="left"/>
        <w:rPr>
          <w:rFonts w:ascii="宋体" w:hAnsi="宋体" w:cs="宋体"/>
          <w:sz w:val="28"/>
          <w:szCs w:val="28"/>
        </w:rPr>
      </w:pPr>
      <w:r>
        <w:rPr>
          <w:rFonts w:hint="eastAsia" w:ascii="宋体" w:hAnsi="宋体" w:cs="宋体"/>
          <w:sz w:val="28"/>
          <w:szCs w:val="28"/>
        </w:rPr>
        <w:t xml:space="preserve">   （1）本项目所采购的服务必须能够满足公平公正开展2024年福建法院</w:t>
      </w:r>
      <w:r>
        <w:rPr>
          <w:rFonts w:hint="eastAsia" w:ascii="宋体" w:hAnsi="宋体" w:cs="宋体"/>
          <w:sz w:val="28"/>
          <w:szCs w:val="28"/>
          <w:lang w:eastAsia="zh-CN"/>
        </w:rPr>
        <w:t>法官助理</w:t>
      </w:r>
      <w:r>
        <w:rPr>
          <w:rFonts w:hint="eastAsia" w:ascii="宋体" w:hAnsi="宋体" w:cs="宋体"/>
          <w:sz w:val="28"/>
          <w:szCs w:val="28"/>
        </w:rPr>
        <w:t>技能竞赛项目的</w:t>
      </w:r>
      <w:r>
        <w:rPr>
          <w:rFonts w:hint="eastAsia" w:ascii="宋体" w:hAnsi="宋体"/>
          <w:sz w:val="28"/>
          <w:szCs w:val="28"/>
        </w:rPr>
        <w:t>竞赛内容命题、评委邀请、阅卷评分、场地布置、颁奖材料采购</w:t>
      </w:r>
      <w:r>
        <w:rPr>
          <w:rFonts w:hint="eastAsia" w:ascii="宋体" w:hAnsi="宋体" w:cs="宋体"/>
          <w:sz w:val="28"/>
          <w:szCs w:val="28"/>
        </w:rPr>
        <w:t>等多各环节的实际要求。</w:t>
      </w:r>
    </w:p>
    <w:p>
      <w:pPr>
        <w:ind w:firstLine="560" w:firstLineChars="200"/>
        <w:jc w:val="left"/>
        <w:rPr>
          <w:rFonts w:hint="eastAsia" w:ascii="宋体" w:hAnsi="宋体" w:cs="宋体"/>
          <w:sz w:val="28"/>
          <w:szCs w:val="28"/>
        </w:rPr>
      </w:pPr>
      <w:r>
        <w:rPr>
          <w:rFonts w:hint="eastAsia" w:ascii="宋体" w:hAnsi="宋体" w:cs="宋体"/>
          <w:sz w:val="28"/>
          <w:szCs w:val="28"/>
        </w:rPr>
        <w:t>（2）服务供应商所提供的题库、决赛命题，应满足开展2024年福建法院</w:t>
      </w:r>
      <w:r>
        <w:rPr>
          <w:rFonts w:hint="eastAsia" w:ascii="宋体" w:hAnsi="宋体" w:cs="宋体"/>
          <w:sz w:val="28"/>
          <w:szCs w:val="28"/>
          <w:lang w:eastAsia="zh-CN"/>
        </w:rPr>
        <w:t>法官助理</w:t>
      </w:r>
      <w:r>
        <w:rPr>
          <w:rFonts w:hint="eastAsia" w:ascii="宋体" w:hAnsi="宋体" w:cs="宋体"/>
          <w:sz w:val="28"/>
          <w:szCs w:val="28"/>
        </w:rPr>
        <w:t>技能竞赛项目的需求。</w:t>
      </w:r>
    </w:p>
    <w:p>
      <w:pPr>
        <w:pStyle w:val="2"/>
        <w:rPr>
          <w:rFonts w:hint="eastAsia" w:hAnsi="宋体" w:cs="宋体"/>
          <w:sz w:val="28"/>
          <w:szCs w:val="28"/>
          <w:lang w:val="en-US" w:eastAsia="zh-CN"/>
        </w:rPr>
      </w:pPr>
      <w:r>
        <w:rPr>
          <w:rFonts w:hint="eastAsia" w:hAnsi="宋体" w:cs="宋体"/>
          <w:sz w:val="28"/>
          <w:szCs w:val="28"/>
          <w:lang w:val="en-US" w:eastAsia="zh-CN"/>
        </w:rPr>
        <w:t xml:space="preserve">    （3）服务供应商近三年应承接过福建省级机关单位有关技能竞赛服务项目，并有相关证明资料备查。</w:t>
      </w:r>
    </w:p>
    <w:p>
      <w:pPr>
        <w:pStyle w:val="2"/>
        <w:ind w:firstLine="560" w:firstLineChars="200"/>
        <w:rPr>
          <w:rFonts w:hint="eastAsia" w:hAnsi="宋体" w:cs="宋体"/>
          <w:sz w:val="28"/>
          <w:szCs w:val="28"/>
          <w:lang w:val="en-US" w:eastAsia="zh-CN"/>
        </w:rPr>
      </w:pPr>
      <w:r>
        <w:rPr>
          <w:rFonts w:hint="eastAsia" w:hAnsi="宋体" w:cs="宋体"/>
          <w:sz w:val="28"/>
          <w:szCs w:val="28"/>
          <w:lang w:val="en-US" w:eastAsia="zh-CN"/>
        </w:rPr>
        <w:t>（4）具有政治可靠、业务过硬的命题专家和面试评审专家，并有相关证明资料备查。</w:t>
      </w:r>
    </w:p>
    <w:p>
      <w:pPr>
        <w:jc w:val="left"/>
        <w:rPr>
          <w:rFonts w:ascii="宋体" w:hAnsi="宋体" w:cs="宋体"/>
          <w:sz w:val="28"/>
          <w:szCs w:val="28"/>
        </w:rPr>
      </w:pPr>
      <w:r>
        <w:rPr>
          <w:rFonts w:hint="eastAsia" w:ascii="宋体" w:hAnsi="宋体" w:cs="宋体"/>
          <w:b/>
          <w:bCs/>
          <w:sz w:val="28"/>
          <w:szCs w:val="28"/>
        </w:rPr>
        <w:t xml:space="preserve">   3.2 服务要求</w:t>
      </w:r>
    </w:p>
    <w:p>
      <w:pPr>
        <w:ind w:firstLine="560" w:firstLineChars="200"/>
        <w:jc w:val="left"/>
        <w:rPr>
          <w:rFonts w:ascii="宋体" w:hAnsi="宋体" w:cs="宋体"/>
          <w:sz w:val="28"/>
          <w:szCs w:val="28"/>
        </w:rPr>
      </w:pPr>
      <w:r>
        <w:rPr>
          <w:rFonts w:hint="eastAsia" w:ascii="宋体" w:hAnsi="宋体" w:cs="宋体"/>
          <w:sz w:val="28"/>
          <w:szCs w:val="28"/>
        </w:rPr>
        <w:t>本次服务项目具体要求如下：</w:t>
      </w:r>
    </w:p>
    <w:p>
      <w:pPr>
        <w:ind w:firstLine="560" w:firstLineChars="200"/>
        <w:jc w:val="left"/>
        <w:rPr>
          <w:rFonts w:ascii="宋体" w:hAnsi="宋体" w:cs="宋体"/>
          <w:color w:val="auto"/>
          <w:sz w:val="28"/>
          <w:szCs w:val="28"/>
        </w:rPr>
      </w:pPr>
      <w:r>
        <w:rPr>
          <w:rFonts w:hint="eastAsia" w:ascii="宋体" w:hAnsi="宋体" w:cs="宋体"/>
          <w:bCs/>
          <w:color w:val="auto"/>
          <w:sz w:val="28"/>
          <w:szCs w:val="28"/>
        </w:rPr>
        <w:t>（1）审理报告写作环节，需提供出题、改卷服务：</w:t>
      </w:r>
      <w:r>
        <w:rPr>
          <w:rFonts w:hint="eastAsia" w:ascii="宋体" w:hAnsi="宋体" w:cs="宋体"/>
          <w:color w:val="auto"/>
          <w:sz w:val="28"/>
          <w:szCs w:val="28"/>
        </w:rPr>
        <w:t>出题按1套卷子1大题，分为刑事、民事、行政、执行4个方向，共计4套题；每套试卷满分为100分，根据考生答卷时间为2小时设置试卷</w:t>
      </w:r>
      <w:r>
        <w:rPr>
          <w:rFonts w:hint="eastAsia" w:ascii="宋体" w:hAnsi="宋体" w:cs="宋体"/>
          <w:color w:val="auto"/>
          <w:sz w:val="28"/>
          <w:szCs w:val="28"/>
          <w:lang w:eastAsia="zh-CN"/>
        </w:rPr>
        <w:t>难易程度</w:t>
      </w:r>
      <w:r>
        <w:rPr>
          <w:rFonts w:hint="eastAsia" w:ascii="宋体" w:hAnsi="宋体" w:cs="宋体"/>
          <w:color w:val="auto"/>
          <w:sz w:val="28"/>
          <w:szCs w:val="28"/>
        </w:rPr>
        <w:t>。改卷按刑事、民事、行政、执行4套卷子分别改卷；改卷模式采取专家评委双评。</w:t>
      </w:r>
    </w:p>
    <w:p>
      <w:pPr>
        <w:ind w:firstLine="560" w:firstLineChars="200"/>
        <w:jc w:val="left"/>
        <w:rPr>
          <w:rFonts w:hint="eastAsia" w:ascii="宋体" w:hAnsi="宋体" w:eastAsia="宋体" w:cs="宋体"/>
          <w:color w:val="auto"/>
          <w:sz w:val="28"/>
          <w:szCs w:val="28"/>
          <w:lang w:val="en-US" w:eastAsia="zh-CN"/>
        </w:rPr>
      </w:pPr>
      <w:r>
        <w:rPr>
          <w:rFonts w:hint="eastAsia" w:ascii="宋体" w:hAnsi="宋体" w:cs="宋体"/>
          <w:color w:val="auto"/>
          <w:sz w:val="28"/>
          <w:szCs w:val="28"/>
        </w:rPr>
        <w:t>（2）案件汇报环节，需提供人员服务。提供7人*4组专家评委现场打分；提供工作人员，分设记分、核分、引导、计时4组，4人1组与候考3人、机动3人、医务1人、协调2人、巡考5人，工作人员合计30人</w:t>
      </w:r>
      <w:r>
        <w:rPr>
          <w:rFonts w:hint="eastAsia" w:ascii="宋体" w:hAnsi="宋体" w:cs="宋体"/>
          <w:color w:val="auto"/>
          <w:sz w:val="28"/>
          <w:szCs w:val="28"/>
          <w:lang w:eastAsia="zh-CN"/>
        </w:rPr>
        <w:t>，供应商至少需提供</w:t>
      </w:r>
      <w:r>
        <w:rPr>
          <w:rFonts w:hint="eastAsia" w:ascii="宋体" w:hAnsi="宋体" w:cs="宋体"/>
          <w:color w:val="auto"/>
          <w:sz w:val="28"/>
          <w:szCs w:val="28"/>
          <w:lang w:val="en-US" w:eastAsia="zh-CN"/>
        </w:rPr>
        <w:t>6名以上工作人员</w:t>
      </w:r>
      <w:r>
        <w:rPr>
          <w:rFonts w:hint="eastAsia" w:ascii="宋体" w:hAnsi="宋体" w:cs="宋体"/>
          <w:color w:val="auto"/>
          <w:sz w:val="28"/>
          <w:szCs w:val="28"/>
          <w:lang w:eastAsia="zh-CN"/>
        </w:rPr>
        <w:t>，其余工作人员由采购方负责提供</w:t>
      </w:r>
      <w:r>
        <w:rPr>
          <w:rFonts w:hint="eastAsia" w:ascii="宋体" w:hAnsi="宋体" w:cs="宋体"/>
          <w:color w:val="auto"/>
          <w:sz w:val="28"/>
          <w:szCs w:val="28"/>
          <w:lang w:val="en-US" w:eastAsia="zh-CN"/>
        </w:rPr>
        <w:t>。</w:t>
      </w:r>
    </w:p>
    <w:p>
      <w:pPr>
        <w:ind w:firstLine="560" w:firstLineChars="200"/>
        <w:jc w:val="left"/>
        <w:rPr>
          <w:rFonts w:ascii="宋体" w:hAnsi="宋体" w:cs="宋体"/>
          <w:color w:val="auto"/>
          <w:sz w:val="28"/>
          <w:szCs w:val="28"/>
        </w:rPr>
      </w:pPr>
      <w:r>
        <w:rPr>
          <w:rFonts w:hint="eastAsia" w:ascii="宋体" w:hAnsi="宋体" w:cs="宋体"/>
          <w:color w:val="auto"/>
          <w:sz w:val="28"/>
          <w:szCs w:val="28"/>
        </w:rPr>
        <w:t>（3）法学知识竞答环节，提供</w:t>
      </w:r>
      <w:r>
        <w:rPr>
          <w:rFonts w:hint="eastAsia" w:ascii="宋体" w:hAnsi="宋体" w:cs="宋体"/>
          <w:color w:val="auto"/>
          <w:sz w:val="28"/>
          <w:szCs w:val="28"/>
          <w:lang w:eastAsia="zh-CN"/>
        </w:rPr>
        <w:t>命题</w:t>
      </w:r>
      <w:r>
        <w:rPr>
          <w:rFonts w:hint="eastAsia" w:ascii="宋体" w:hAnsi="宋体" w:cs="宋体"/>
          <w:color w:val="auto"/>
          <w:sz w:val="28"/>
          <w:szCs w:val="28"/>
        </w:rPr>
        <w:t>、</w:t>
      </w:r>
      <w:r>
        <w:rPr>
          <w:rFonts w:hint="eastAsia" w:ascii="宋体" w:hAnsi="宋体" w:cs="宋体"/>
          <w:color w:val="auto"/>
          <w:sz w:val="28"/>
          <w:szCs w:val="28"/>
          <w:lang w:eastAsia="zh-CN"/>
        </w:rPr>
        <w:t>工作</w:t>
      </w:r>
      <w:r>
        <w:rPr>
          <w:rFonts w:hint="eastAsia" w:ascii="宋体" w:hAnsi="宋体" w:cs="宋体"/>
          <w:color w:val="auto"/>
          <w:sz w:val="28"/>
          <w:szCs w:val="28"/>
        </w:rPr>
        <w:t>人员、抢答设备服务。命题包含必答题，抢答题，风险题。安排3位评审专家，需提前半天安排评议。提供技术及服务人员10人次，含彩排1次</w:t>
      </w:r>
      <w:r>
        <w:rPr>
          <w:rFonts w:hint="eastAsia" w:ascii="宋体" w:hAnsi="宋体" w:cs="宋体"/>
          <w:color w:val="auto"/>
          <w:sz w:val="28"/>
          <w:szCs w:val="28"/>
          <w:lang w:eastAsia="zh-CN"/>
        </w:rPr>
        <w:t>加</w:t>
      </w:r>
      <w:r>
        <w:rPr>
          <w:rFonts w:hint="eastAsia" w:ascii="宋体" w:hAnsi="宋体" w:cs="宋体"/>
          <w:color w:val="auto"/>
          <w:sz w:val="28"/>
          <w:szCs w:val="28"/>
        </w:rPr>
        <w:t>竞赛当天</w:t>
      </w:r>
      <w:r>
        <w:rPr>
          <w:rFonts w:hint="eastAsia" w:ascii="宋体" w:hAnsi="宋体" w:cs="宋体"/>
          <w:color w:val="auto"/>
          <w:sz w:val="28"/>
          <w:szCs w:val="28"/>
          <w:lang w:eastAsia="zh-CN"/>
        </w:rPr>
        <w:t>全程保障</w:t>
      </w:r>
      <w:r>
        <w:rPr>
          <w:rFonts w:hint="eastAsia" w:ascii="宋体" w:hAnsi="宋体" w:cs="宋体"/>
          <w:color w:val="auto"/>
          <w:sz w:val="28"/>
          <w:szCs w:val="28"/>
        </w:rPr>
        <w:t>。提供录题软件、话筒、抢答器、无线记分屏等按13组计算。</w:t>
      </w:r>
    </w:p>
    <w:p>
      <w:pPr>
        <w:ind w:firstLine="560" w:firstLineChars="200"/>
        <w:jc w:val="left"/>
        <w:rPr>
          <w:rFonts w:ascii="宋体" w:hAnsi="宋体" w:cs="宋体"/>
          <w:color w:val="auto"/>
          <w:sz w:val="28"/>
          <w:szCs w:val="28"/>
        </w:rPr>
      </w:pPr>
      <w:r>
        <w:rPr>
          <w:rFonts w:hint="eastAsia" w:ascii="宋体" w:hAnsi="宋体" w:cs="宋体"/>
          <w:color w:val="auto"/>
          <w:sz w:val="28"/>
          <w:szCs w:val="28"/>
        </w:rPr>
        <w:t>（4）场地布置。案件汇报环节需提供指示牌、工作牌、桌牌、号码牌、秒表、时钟、办公用品等。法学知识竞答环节需</w:t>
      </w:r>
      <w:r>
        <w:rPr>
          <w:rFonts w:ascii="宋体" w:hAnsi="宋体" w:cs="宋体"/>
          <w:color w:val="auto"/>
          <w:sz w:val="28"/>
          <w:szCs w:val="28"/>
        </w:rPr>
        <w:t>提供舞台搭建（按70元/平方标准制作）、桌椅租赁、面光灯、桌布、条幅、指示牌、展板、三角牌等其他物料。</w:t>
      </w:r>
      <w:r>
        <w:rPr>
          <w:rFonts w:hint="eastAsia" w:ascii="宋体" w:hAnsi="宋体" w:cs="宋体"/>
          <w:color w:val="auto"/>
          <w:sz w:val="28"/>
          <w:szCs w:val="28"/>
        </w:rPr>
        <w:t>舞台搭建应符合能够容纳并同时呈现13支代表队、每支4人（共52人）同台竞技的需要。</w:t>
      </w:r>
    </w:p>
    <w:p>
      <w:pPr>
        <w:ind w:firstLine="560" w:firstLineChars="200"/>
        <w:jc w:val="left"/>
        <w:rPr>
          <w:rFonts w:ascii="宋体" w:hAnsi="宋体" w:cs="宋体"/>
          <w:color w:val="auto"/>
          <w:sz w:val="28"/>
          <w:szCs w:val="28"/>
        </w:rPr>
      </w:pPr>
      <w:r>
        <w:rPr>
          <w:rFonts w:hint="eastAsia" w:hAnsi="宋体"/>
          <w:color w:val="auto"/>
          <w:sz w:val="28"/>
          <w:szCs w:val="28"/>
        </w:rPr>
        <w:t>（5）制作奖杯奖牌等：制作团体奖牌，个人奖杯，个人奖牌，团体、个人证书等。</w:t>
      </w:r>
      <w:r>
        <w:rPr>
          <w:rFonts w:hint="eastAsia" w:hAnsi="宋体"/>
          <w:color w:val="auto"/>
          <w:sz w:val="28"/>
          <w:szCs w:val="28"/>
          <w:lang w:eastAsia="zh-CN"/>
        </w:rPr>
        <w:t>具体包含：</w:t>
      </w:r>
      <w:r>
        <w:rPr>
          <w:rFonts w:hint="eastAsia" w:ascii="仿宋_GB2312" w:hAnsi="仿宋_GB2312" w:eastAsia="仿宋_GB2312" w:cs="仿宋_GB2312"/>
          <w:color w:val="auto"/>
          <w:sz w:val="28"/>
          <w:szCs w:val="28"/>
          <w:lang w:eastAsia="zh-CN"/>
        </w:rPr>
        <w:t>①</w:t>
      </w:r>
      <w:r>
        <w:rPr>
          <w:rFonts w:hint="eastAsia" w:hAnsi="宋体"/>
          <w:color w:val="auto"/>
          <w:sz w:val="28"/>
          <w:szCs w:val="28"/>
          <w:lang w:eastAsia="zh-CN"/>
        </w:rPr>
        <w:t>个人奖，</w:t>
      </w:r>
      <w:r>
        <w:rPr>
          <w:rFonts w:hint="eastAsia" w:hAnsi="宋体"/>
          <w:color w:val="auto"/>
          <w:sz w:val="28"/>
          <w:szCs w:val="28"/>
        </w:rPr>
        <w:t>按刑事、民事、行政、执行四类条线分别由高到低取个人成绩前4名，共16</w:t>
      </w:r>
      <w:bookmarkStart w:id="84" w:name="_GoBack"/>
      <w:bookmarkEnd w:id="84"/>
      <w:r>
        <w:rPr>
          <w:rFonts w:hint="eastAsia" w:hAnsi="宋体"/>
          <w:color w:val="auto"/>
          <w:sz w:val="28"/>
          <w:szCs w:val="28"/>
        </w:rPr>
        <w:t>名；</w:t>
      </w:r>
      <w:r>
        <w:rPr>
          <w:rFonts w:hint="eastAsia" w:ascii="仿宋_GB2312" w:hAnsi="仿宋_GB2312" w:eastAsia="仿宋_GB2312" w:cs="仿宋_GB2312"/>
          <w:color w:val="auto"/>
          <w:sz w:val="28"/>
          <w:szCs w:val="28"/>
        </w:rPr>
        <w:t>②</w:t>
      </w:r>
      <w:r>
        <w:rPr>
          <w:rFonts w:hint="eastAsia" w:hAnsi="宋体"/>
          <w:color w:val="auto"/>
          <w:sz w:val="28"/>
          <w:szCs w:val="28"/>
        </w:rPr>
        <w:t>团体奖：按团体成绩由高到低取前3名，设团体金奖、银奖、铜奖各1名。</w:t>
      </w:r>
      <w:r>
        <w:rPr>
          <w:rFonts w:hint="eastAsia" w:ascii="仿宋_GB2312" w:hAnsi="仿宋_GB2312" w:eastAsia="仿宋_GB2312" w:cs="仿宋_GB2312"/>
          <w:color w:val="auto"/>
          <w:sz w:val="28"/>
          <w:szCs w:val="28"/>
        </w:rPr>
        <w:t>③</w:t>
      </w:r>
      <w:r>
        <w:rPr>
          <w:rFonts w:hint="eastAsia" w:hAnsi="宋体"/>
          <w:color w:val="auto"/>
          <w:sz w:val="28"/>
          <w:szCs w:val="28"/>
        </w:rPr>
        <w:t>优秀组织奖：根据组织工作情况，评选优秀组织奖3名。</w:t>
      </w:r>
    </w:p>
    <w:p>
      <w:pPr>
        <w:ind w:firstLine="560" w:firstLineChars="200"/>
        <w:jc w:val="left"/>
        <w:rPr>
          <w:rFonts w:ascii="宋体" w:hAnsi="宋体" w:cs="宋体"/>
          <w:color w:val="auto"/>
          <w:sz w:val="28"/>
          <w:szCs w:val="28"/>
        </w:rPr>
      </w:pPr>
      <w:r>
        <w:rPr>
          <w:rFonts w:hint="eastAsia" w:ascii="宋体" w:hAnsi="宋体" w:cs="宋体"/>
          <w:color w:val="auto"/>
          <w:sz w:val="28"/>
          <w:szCs w:val="28"/>
        </w:rPr>
        <w:t>（6）技术服务（全过程）。本项目涉及的所有服务项目均应及时提供技术支持，确保项目能够顺利完成。</w:t>
      </w:r>
    </w:p>
    <w:p>
      <w:pPr>
        <w:pStyle w:val="3"/>
        <w:ind w:left="0"/>
        <w:jc w:val="left"/>
        <w:rPr>
          <w:rFonts w:ascii="宋体" w:hAnsi="宋体" w:cs="宋体"/>
          <w:color w:val="auto"/>
          <w:sz w:val="28"/>
          <w:szCs w:val="28"/>
        </w:rPr>
      </w:pPr>
      <w:r>
        <w:rPr>
          <w:rFonts w:hint="eastAsia" w:ascii="宋体" w:hAnsi="宋体" w:cs="宋体"/>
          <w:color w:val="auto"/>
          <w:sz w:val="28"/>
          <w:szCs w:val="28"/>
        </w:rPr>
        <w:t>　　（7）其他。根据采购人需求，在合同范围内开展与该项目有关的其他服务工作。</w:t>
      </w:r>
    </w:p>
    <w:p>
      <w:pPr>
        <w:pStyle w:val="5"/>
        <w:spacing w:before="0" w:after="0" w:line="240" w:lineRule="auto"/>
        <w:ind w:firstLine="643" w:firstLineChars="200"/>
        <w:rPr>
          <w:color w:val="auto"/>
        </w:rPr>
      </w:pPr>
      <w:bookmarkStart w:id="53" w:name="_Toc23701"/>
      <w:bookmarkStart w:id="54" w:name="_Toc1288590337"/>
      <w:bookmarkStart w:id="55" w:name="_Toc1561304289"/>
      <w:bookmarkStart w:id="56" w:name="_Toc1635551554"/>
      <w:bookmarkStart w:id="57" w:name="_Toc1198678075"/>
      <w:bookmarkStart w:id="58" w:name="_Toc26177"/>
      <w:r>
        <w:rPr>
          <w:rFonts w:hint="eastAsia"/>
          <w:color w:val="auto"/>
        </w:rPr>
        <w:t>４.工期</w:t>
      </w:r>
      <w:bookmarkEnd w:id="53"/>
      <w:r>
        <w:rPr>
          <w:rFonts w:hint="eastAsia"/>
          <w:color w:val="auto"/>
        </w:rPr>
        <w:t>要求</w:t>
      </w:r>
      <w:bookmarkEnd w:id="54"/>
      <w:bookmarkEnd w:id="55"/>
      <w:bookmarkEnd w:id="56"/>
      <w:bookmarkEnd w:id="57"/>
      <w:bookmarkEnd w:id="58"/>
      <w:bookmarkStart w:id="59" w:name="_Toc16872"/>
    </w:p>
    <w:p>
      <w:pPr>
        <w:pStyle w:val="5"/>
        <w:spacing w:before="0" w:after="0" w:line="240" w:lineRule="auto"/>
        <w:ind w:firstLine="560" w:firstLineChars="200"/>
        <w:rPr>
          <w:rFonts w:ascii="宋体" w:hAnsi="宋体" w:eastAsia="宋体" w:cs="宋体"/>
          <w:b w:val="0"/>
          <w:bCs w:val="0"/>
          <w:color w:val="auto"/>
          <w:sz w:val="28"/>
          <w:szCs w:val="28"/>
        </w:rPr>
      </w:pPr>
      <w:r>
        <w:rPr>
          <w:rFonts w:hint="eastAsia" w:ascii="宋体" w:hAnsi="宋体" w:eastAsia="宋体" w:cs="宋体"/>
          <w:b w:val="0"/>
          <w:bCs w:val="0"/>
          <w:color w:val="auto"/>
          <w:sz w:val="28"/>
          <w:szCs w:val="28"/>
        </w:rPr>
        <w:t>合同签订后3个月内完成服务项目，具体交付时间以采购人实际要求为准。</w:t>
      </w:r>
    </w:p>
    <w:p>
      <w:pPr>
        <w:pStyle w:val="5"/>
        <w:spacing w:before="0" w:after="0" w:line="240" w:lineRule="auto"/>
        <w:ind w:firstLine="643" w:firstLineChars="200"/>
      </w:pPr>
      <w:bookmarkStart w:id="60" w:name="_Toc90769706"/>
      <w:bookmarkStart w:id="61" w:name="_Toc1855785718"/>
      <w:bookmarkStart w:id="62" w:name="_Toc545654422"/>
      <w:bookmarkStart w:id="63" w:name="_Toc88325370"/>
      <w:bookmarkStart w:id="64" w:name="_Toc32547"/>
      <w:r>
        <w:rPr>
          <w:rFonts w:hint="eastAsia"/>
        </w:rPr>
        <w:t>５.付款条件</w:t>
      </w:r>
      <w:bookmarkEnd w:id="59"/>
      <w:bookmarkEnd w:id="60"/>
      <w:bookmarkEnd w:id="61"/>
      <w:bookmarkEnd w:id="62"/>
      <w:bookmarkEnd w:id="63"/>
      <w:bookmarkEnd w:id="64"/>
    </w:p>
    <w:p>
      <w:pPr>
        <w:ind w:firstLine="560" w:firstLineChars="200"/>
        <w:rPr>
          <w:rFonts w:ascii="宋体" w:hAnsi="宋体" w:cs="宋体"/>
          <w:sz w:val="28"/>
          <w:szCs w:val="28"/>
        </w:rPr>
      </w:pPr>
      <w:r>
        <w:rPr>
          <w:rFonts w:hint="eastAsia" w:ascii="宋体" w:hAnsi="宋体" w:cs="宋体"/>
          <w:sz w:val="28"/>
          <w:szCs w:val="28"/>
        </w:rPr>
        <w:t>本项目采取一次性付款方式。项目经终验合格后，在收到中标方开具国家规定的正式发票后，于20个工作日内，以银行转账方式一次性支付。</w:t>
      </w:r>
    </w:p>
    <w:p>
      <w:pPr>
        <w:rPr>
          <w:rFonts w:ascii="宋体" w:hAnsi="宋体"/>
          <w:sz w:val="24"/>
        </w:rPr>
      </w:pPr>
    </w:p>
    <w:p>
      <w:pPr>
        <w:ind w:firstLine="487" w:firstLineChars="203"/>
        <w:rPr>
          <w:rFonts w:ascii="宋体" w:hAnsi="宋体"/>
          <w:sz w:val="24"/>
        </w:rPr>
      </w:pPr>
      <w:r>
        <w:rPr>
          <w:rFonts w:ascii="宋体" w:hAnsi="宋体"/>
          <w:sz w:val="24"/>
        </w:rPr>
        <w:br w:type="page"/>
      </w:r>
    </w:p>
    <w:p>
      <w:pPr>
        <w:pStyle w:val="4"/>
        <w:spacing w:line="240" w:lineRule="auto"/>
        <w:jc w:val="center"/>
      </w:pPr>
      <w:bookmarkStart w:id="65" w:name="_Toc1370539712"/>
      <w:bookmarkStart w:id="66" w:name="_Toc484045782"/>
      <w:bookmarkStart w:id="67" w:name="_Toc25806"/>
      <w:bookmarkStart w:id="68" w:name="_Toc1003687295"/>
      <w:bookmarkStart w:id="69" w:name="_Toc813889516"/>
      <w:r>
        <w:rPr>
          <w:rFonts w:hint="eastAsia"/>
        </w:rPr>
        <w:t>第四章 投标文件封面及部分承诺格式</w:t>
      </w:r>
      <w:bookmarkEnd w:id="65"/>
      <w:bookmarkEnd w:id="66"/>
      <w:bookmarkEnd w:id="67"/>
      <w:bookmarkEnd w:id="68"/>
      <w:bookmarkEnd w:id="69"/>
    </w:p>
    <w:p>
      <w:pPr>
        <w:rPr>
          <w:rFonts w:ascii="仿宋_GB2312" w:hAnsi="Courier New" w:eastAsia="仿宋_GB2312"/>
          <w:sz w:val="32"/>
          <w:szCs w:val="32"/>
        </w:rPr>
      </w:pPr>
      <w:r>
        <w:rPr>
          <w:rFonts w:hint="eastAsia" w:ascii="仿宋_GB2312" w:hAnsi="Courier New" w:eastAsia="仿宋_GB2312"/>
          <w:sz w:val="32"/>
          <w:szCs w:val="32"/>
        </w:rPr>
        <w:t>封面格式：</w:t>
      </w:r>
    </w:p>
    <w:p>
      <w:pPr>
        <w:rPr>
          <w:rFonts w:ascii="黑体" w:hAnsi="黑体" w:eastAsia="黑体" w:cs="黑体"/>
          <w:sz w:val="48"/>
          <w:szCs w:val="48"/>
        </w:rPr>
      </w:pPr>
    </w:p>
    <w:p>
      <w:pPr>
        <w:jc w:val="center"/>
        <w:rPr>
          <w:rFonts w:ascii="华文中宋" w:hAnsi="华文中宋" w:eastAsia="华文中宋"/>
          <w:b/>
          <w:sz w:val="84"/>
          <w:szCs w:val="84"/>
        </w:rPr>
      </w:pPr>
      <w:r>
        <w:rPr>
          <w:rFonts w:hint="eastAsia" w:ascii="黑体" w:hAnsi="黑体" w:eastAsia="黑体" w:cs="黑体"/>
          <w:sz w:val="48"/>
          <w:szCs w:val="48"/>
        </w:rPr>
        <w:t>福建省高级人民法院关于2024年福建法院</w:t>
      </w:r>
      <w:r>
        <w:rPr>
          <w:rFonts w:hint="eastAsia" w:ascii="黑体" w:hAnsi="黑体" w:eastAsia="黑体" w:cs="黑体"/>
          <w:sz w:val="48"/>
          <w:szCs w:val="48"/>
          <w:lang w:eastAsia="zh-CN"/>
        </w:rPr>
        <w:t>法官助理</w:t>
      </w:r>
      <w:r>
        <w:rPr>
          <w:rFonts w:hint="eastAsia" w:ascii="黑体" w:hAnsi="黑体" w:eastAsia="黑体" w:cs="黑体"/>
          <w:sz w:val="48"/>
          <w:szCs w:val="48"/>
        </w:rPr>
        <w:t>技能竞赛服务项目</w:t>
      </w:r>
    </w:p>
    <w:p>
      <w:pPr>
        <w:jc w:val="center"/>
        <w:rPr>
          <w:rFonts w:ascii="华文中宋" w:hAnsi="华文中宋" w:eastAsia="华文中宋"/>
          <w:b/>
          <w:sz w:val="84"/>
          <w:szCs w:val="84"/>
        </w:rPr>
      </w:pPr>
      <w:r>
        <w:rPr>
          <w:rFonts w:hint="eastAsia" w:ascii="华文中宋" w:hAnsi="华文中宋" w:eastAsia="华文中宋"/>
          <w:b/>
          <w:sz w:val="84"/>
          <w:szCs w:val="84"/>
        </w:rPr>
        <w:t>投 标 文 件</w:t>
      </w:r>
    </w:p>
    <w:p>
      <w:pPr>
        <w:rPr>
          <w:rFonts w:ascii="仿宋_GB2312" w:hAnsi="Courier New" w:eastAsia="仿宋_GB2312"/>
          <w:sz w:val="72"/>
          <w:szCs w:val="72"/>
        </w:rPr>
      </w:pPr>
    </w:p>
    <w:p>
      <w:pPr>
        <w:rPr>
          <w:rFonts w:ascii="仿宋_GB2312" w:hAnsi="Courier New" w:eastAsia="仿宋_GB2312"/>
          <w:sz w:val="72"/>
        </w:rPr>
      </w:pPr>
    </w:p>
    <w:p>
      <w:pPr>
        <w:rPr>
          <w:rFonts w:ascii="仿宋_GB2312" w:hAnsi="Courier New" w:eastAsia="仿宋_GB2312"/>
          <w:sz w:val="36"/>
        </w:rPr>
      </w:pPr>
    </w:p>
    <w:p>
      <w:pPr>
        <w:ind w:firstLine="1105" w:firstLineChars="307"/>
        <w:rPr>
          <w:rFonts w:ascii="仿宋_GB2312" w:hAnsi="Courier New" w:eastAsia="仿宋_GB2312"/>
          <w:sz w:val="36"/>
          <w:u w:val="single"/>
        </w:rPr>
      </w:pPr>
    </w:p>
    <w:p>
      <w:pPr>
        <w:rPr>
          <w:rFonts w:ascii="仿宋_GB2312" w:hAnsi="Courier New" w:eastAsia="仿宋_GB2312"/>
          <w:sz w:val="36"/>
        </w:rPr>
      </w:pPr>
    </w:p>
    <w:p>
      <w:pPr>
        <w:pStyle w:val="2"/>
      </w:pPr>
    </w:p>
    <w:p>
      <w:pPr>
        <w:pStyle w:val="3"/>
      </w:pPr>
    </w:p>
    <w:p/>
    <w:p>
      <w:pPr>
        <w:rPr>
          <w:rFonts w:ascii="仿宋_GB2312" w:hAnsi="Courier New" w:eastAsia="仿宋_GB2312"/>
          <w:sz w:val="36"/>
          <w:u w:val="single"/>
        </w:rPr>
      </w:pPr>
      <w:r>
        <w:rPr>
          <w:rFonts w:hint="eastAsia" w:ascii="仿宋_GB2312" w:hAnsi="Courier New" w:eastAsia="仿宋_GB2312"/>
          <w:sz w:val="36"/>
        </w:rPr>
        <w:t xml:space="preserve">      投标人名称 ：</w:t>
      </w:r>
    </w:p>
    <w:p>
      <w:r>
        <w:rPr>
          <w:rFonts w:hint="eastAsia" w:ascii="仿宋_GB2312" w:hAnsi="Courier New" w:eastAsia="仿宋_GB2312"/>
          <w:sz w:val="36"/>
        </w:rPr>
        <w:t xml:space="preserve">      日      期 ：</w:t>
      </w:r>
    </w:p>
    <w:p>
      <w:pPr>
        <w:sectPr>
          <w:pgSz w:w="11906" w:h="16838"/>
          <w:pgMar w:top="1418" w:right="1531" w:bottom="1418" w:left="1531" w:header="851" w:footer="992" w:gutter="0"/>
          <w:cols w:space="720" w:num="1"/>
          <w:docGrid w:type="lines" w:linePitch="312" w:charSpace="0"/>
        </w:sectPr>
      </w:pPr>
    </w:p>
    <w:p>
      <w:pPr>
        <w:pStyle w:val="5"/>
        <w:spacing w:line="400" w:lineRule="exact"/>
        <w:jc w:val="center"/>
        <w:rPr>
          <w:rFonts w:hint="eastAsia"/>
          <w:b w:val="0"/>
          <w:lang w:eastAsia="zh-CN"/>
        </w:rPr>
      </w:pPr>
      <w:bookmarkStart w:id="70" w:name="_Toc1147868710"/>
      <w:bookmarkStart w:id="71" w:name="_Toc522321916"/>
      <w:bookmarkStart w:id="72" w:name="_Toc261046770"/>
      <w:bookmarkStart w:id="73" w:name="_Toc10631"/>
      <w:r>
        <w:rPr>
          <w:rFonts w:hint="eastAsia"/>
          <w:b w:val="0"/>
        </w:rPr>
        <w:t>福建省高级人民法院关于2024年福建法院</w:t>
      </w:r>
    </w:p>
    <w:p>
      <w:pPr>
        <w:pStyle w:val="5"/>
        <w:spacing w:line="400" w:lineRule="exact"/>
        <w:jc w:val="center"/>
        <w:rPr>
          <w:b w:val="0"/>
        </w:rPr>
      </w:pPr>
      <w:r>
        <w:rPr>
          <w:rFonts w:hint="eastAsia"/>
          <w:b w:val="0"/>
          <w:lang w:eastAsia="zh-CN"/>
        </w:rPr>
        <w:t>法官助理</w:t>
      </w:r>
      <w:r>
        <w:rPr>
          <w:rFonts w:hint="eastAsia"/>
          <w:b w:val="0"/>
        </w:rPr>
        <w:t>技能竞赛服务项目报价表</w:t>
      </w:r>
      <w:bookmarkEnd w:id="70"/>
      <w:bookmarkEnd w:id="71"/>
      <w:bookmarkEnd w:id="72"/>
    </w:p>
    <w:p>
      <w:pPr>
        <w:jc w:val="left"/>
        <w:rPr>
          <w:rFonts w:ascii="仿宋_GB2312" w:eastAsia="仿宋_GB2312"/>
          <w:sz w:val="28"/>
          <w:szCs w:val="28"/>
        </w:rPr>
      </w:pPr>
      <w:r>
        <w:rPr>
          <w:rFonts w:hint="eastAsia" w:ascii="仿宋_GB2312" w:eastAsia="仿宋_GB2312"/>
          <w:sz w:val="28"/>
          <w:szCs w:val="28"/>
        </w:rPr>
        <w:t>报价人名称：（全称并加盖公章）</w:t>
      </w:r>
    </w:p>
    <w:p>
      <w:pPr>
        <w:pStyle w:val="2"/>
        <w:tabs>
          <w:tab w:val="left" w:pos="651"/>
        </w:tabs>
      </w:pPr>
      <w:bookmarkStart w:id="74" w:name="_Toc6635834"/>
      <w:bookmarkStart w:id="75" w:name="_Toc83137847"/>
      <w:bookmarkStart w:id="76" w:name="_Toc550400205"/>
      <w:bookmarkStart w:id="77" w:name="_Toc1108501275"/>
    </w:p>
    <w:tbl>
      <w:tblPr>
        <w:tblStyle w:val="21"/>
        <w:tblpPr w:leftFromText="180" w:rightFromText="180" w:vertAnchor="text" w:horzAnchor="margin" w:tblpY="352"/>
        <w:tblOverlap w:val="never"/>
        <w:tblW w:w="8831" w:type="dxa"/>
        <w:tblInd w:w="0" w:type="dxa"/>
        <w:tblLayout w:type="fixed"/>
        <w:tblCellMar>
          <w:top w:w="0" w:type="dxa"/>
          <w:left w:w="0" w:type="dxa"/>
          <w:bottom w:w="0" w:type="dxa"/>
          <w:right w:w="0" w:type="dxa"/>
        </w:tblCellMar>
      </w:tblPr>
      <w:tblGrid>
        <w:gridCol w:w="993"/>
        <w:gridCol w:w="1146"/>
        <w:gridCol w:w="3685"/>
        <w:gridCol w:w="795"/>
        <w:gridCol w:w="802"/>
        <w:gridCol w:w="1410"/>
      </w:tblGrid>
      <w:tr>
        <w:tblPrEx>
          <w:tblLayout w:type="fixed"/>
          <w:tblCellMar>
            <w:top w:w="0" w:type="dxa"/>
            <w:left w:w="0" w:type="dxa"/>
            <w:bottom w:w="0" w:type="dxa"/>
            <w:right w:w="0" w:type="dxa"/>
          </w:tblCellMar>
        </w:tblPrEx>
        <w:trPr>
          <w:trHeight w:val="670" w:hRule="atLeast"/>
        </w:trPr>
        <w:tc>
          <w:tcPr>
            <w:tcW w:w="2139" w:type="dxa"/>
            <w:gridSpan w:val="2"/>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center"/>
              <w:textAlignment w:val="center"/>
              <w:rPr>
                <w:b/>
                <w:color w:val="000000"/>
                <w:kern w:val="0"/>
                <w:sz w:val="24"/>
              </w:rPr>
            </w:pPr>
            <w:r>
              <w:rPr>
                <w:b/>
                <w:color w:val="000000"/>
                <w:kern w:val="0"/>
                <w:sz w:val="24"/>
              </w:rPr>
              <w:t>内  容</w:t>
            </w:r>
          </w:p>
        </w:tc>
        <w:tc>
          <w:tcPr>
            <w:tcW w:w="36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center"/>
              <w:textAlignment w:val="center"/>
              <w:rPr>
                <w:b/>
                <w:color w:val="000000"/>
                <w:kern w:val="0"/>
                <w:sz w:val="24"/>
              </w:rPr>
            </w:pPr>
            <w:r>
              <w:rPr>
                <w:b/>
                <w:color w:val="000000"/>
                <w:kern w:val="0"/>
                <w:sz w:val="24"/>
              </w:rPr>
              <w:t>服务标准</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center"/>
              <w:textAlignment w:val="center"/>
              <w:rPr>
                <w:b/>
                <w:color w:val="000000"/>
                <w:sz w:val="24"/>
              </w:rPr>
            </w:pPr>
            <w:r>
              <w:rPr>
                <w:rFonts w:hint="eastAsia"/>
                <w:b/>
                <w:color w:val="000000"/>
                <w:kern w:val="0"/>
                <w:sz w:val="24"/>
              </w:rPr>
              <w:t>单位</w:t>
            </w: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center"/>
              <w:textAlignment w:val="center"/>
              <w:rPr>
                <w:b/>
                <w:color w:val="000000"/>
                <w:sz w:val="24"/>
              </w:rPr>
            </w:pPr>
            <w:r>
              <w:rPr>
                <w:b/>
                <w:color w:val="000000"/>
                <w:kern w:val="0"/>
                <w:sz w:val="24"/>
              </w:rPr>
              <w:t>数量</w:t>
            </w: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center"/>
              <w:textAlignment w:val="center"/>
              <w:rPr>
                <w:b/>
                <w:color w:val="000000"/>
                <w:sz w:val="24"/>
              </w:rPr>
            </w:pPr>
            <w:r>
              <w:rPr>
                <w:b/>
                <w:color w:val="000000"/>
                <w:kern w:val="0"/>
                <w:sz w:val="24"/>
              </w:rPr>
              <w:t>预算金额（元）</w:t>
            </w:r>
          </w:p>
        </w:tc>
      </w:tr>
      <w:tr>
        <w:tblPrEx>
          <w:tblLayout w:type="fixed"/>
          <w:tblCellMar>
            <w:top w:w="0" w:type="dxa"/>
            <w:left w:w="0" w:type="dxa"/>
            <w:bottom w:w="0" w:type="dxa"/>
            <w:right w:w="0" w:type="dxa"/>
          </w:tblCellMar>
        </w:tblPrEx>
        <w:trPr>
          <w:trHeight w:val="638" w:hRule="atLeast"/>
        </w:trPr>
        <w:tc>
          <w:tcPr>
            <w:tcW w:w="99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center"/>
              <w:textAlignment w:val="center"/>
              <w:rPr>
                <w:rFonts w:eastAsia="仿宋_GB2312"/>
                <w:b/>
                <w:color w:val="000000"/>
                <w:kern w:val="0"/>
                <w:sz w:val="24"/>
              </w:rPr>
            </w:pPr>
            <w:r>
              <w:rPr>
                <w:rFonts w:eastAsia="仿宋_GB2312"/>
                <w:b/>
                <w:color w:val="000000"/>
                <w:kern w:val="0"/>
                <w:sz w:val="24"/>
              </w:rPr>
              <w:t>审理</w:t>
            </w:r>
          </w:p>
          <w:p>
            <w:pPr>
              <w:widowControl/>
              <w:jc w:val="center"/>
              <w:textAlignment w:val="center"/>
              <w:rPr>
                <w:rFonts w:eastAsia="仿宋_GB2312"/>
                <w:b/>
                <w:color w:val="000000"/>
                <w:kern w:val="0"/>
                <w:sz w:val="24"/>
              </w:rPr>
            </w:pPr>
            <w:r>
              <w:rPr>
                <w:rFonts w:eastAsia="仿宋_GB2312"/>
                <w:b/>
                <w:color w:val="000000"/>
                <w:kern w:val="0"/>
                <w:sz w:val="24"/>
              </w:rPr>
              <w:t>报告</w:t>
            </w:r>
          </w:p>
          <w:p>
            <w:pPr>
              <w:widowControl/>
              <w:jc w:val="center"/>
              <w:textAlignment w:val="center"/>
              <w:rPr>
                <w:rFonts w:eastAsia="仿宋_GB2312"/>
                <w:b/>
                <w:color w:val="000000"/>
                <w:sz w:val="24"/>
              </w:rPr>
            </w:pPr>
            <w:r>
              <w:rPr>
                <w:rFonts w:eastAsia="仿宋_GB2312"/>
                <w:b/>
                <w:color w:val="000000"/>
                <w:kern w:val="0"/>
                <w:sz w:val="24"/>
              </w:rPr>
              <w:t>写作</w:t>
            </w:r>
          </w:p>
        </w:tc>
        <w:tc>
          <w:tcPr>
            <w:tcW w:w="11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出题服务</w:t>
            </w:r>
          </w:p>
        </w:tc>
        <w:tc>
          <w:tcPr>
            <w:tcW w:w="36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Style w:val="27"/>
                <w:rFonts w:hint="default" w:ascii="Times New Roman" w:eastAsia="仿宋" w:cs="Times New Roman"/>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p>
        </w:tc>
      </w:tr>
      <w:tr>
        <w:tblPrEx>
          <w:tblLayout w:type="fixed"/>
          <w:tblCellMar>
            <w:top w:w="0" w:type="dxa"/>
            <w:left w:w="0" w:type="dxa"/>
            <w:bottom w:w="0" w:type="dxa"/>
            <w:right w:w="0" w:type="dxa"/>
          </w:tblCellMar>
        </w:tblPrEx>
        <w:trPr>
          <w:trHeight w:val="506" w:hRule="atLeast"/>
        </w:trPr>
        <w:tc>
          <w:tcPr>
            <w:tcW w:w="99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eastAsia="仿宋_GB2312"/>
                <w:b/>
                <w:color w:val="000000"/>
                <w:sz w:val="24"/>
              </w:rPr>
            </w:pPr>
          </w:p>
        </w:tc>
        <w:tc>
          <w:tcPr>
            <w:tcW w:w="11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改卷服务</w:t>
            </w:r>
          </w:p>
        </w:tc>
        <w:tc>
          <w:tcPr>
            <w:tcW w:w="36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Style w:val="27"/>
                <w:rFonts w:hint="default" w:ascii="Times New Roman" w:eastAsia="仿宋" w:cs="Times New Roman"/>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p>
        </w:tc>
      </w:tr>
      <w:tr>
        <w:tblPrEx>
          <w:tblLayout w:type="fixed"/>
          <w:tblCellMar>
            <w:top w:w="0" w:type="dxa"/>
            <w:left w:w="0" w:type="dxa"/>
            <w:bottom w:w="0" w:type="dxa"/>
            <w:right w:w="0" w:type="dxa"/>
          </w:tblCellMar>
        </w:tblPrEx>
        <w:trPr>
          <w:trHeight w:val="507" w:hRule="atLeast"/>
        </w:trPr>
        <w:tc>
          <w:tcPr>
            <w:tcW w:w="993" w:type="dxa"/>
            <w:vMerge w:val="restart"/>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center"/>
              <w:textAlignment w:val="center"/>
              <w:rPr>
                <w:rFonts w:eastAsia="仿宋_GB2312"/>
                <w:b/>
                <w:color w:val="000000"/>
                <w:kern w:val="0"/>
                <w:sz w:val="24"/>
              </w:rPr>
            </w:pPr>
            <w:r>
              <w:rPr>
                <w:rFonts w:eastAsia="仿宋_GB2312"/>
                <w:b/>
                <w:color w:val="000000"/>
                <w:kern w:val="0"/>
                <w:sz w:val="24"/>
              </w:rPr>
              <w:t>案件</w:t>
            </w:r>
          </w:p>
          <w:p>
            <w:pPr>
              <w:widowControl/>
              <w:jc w:val="center"/>
              <w:textAlignment w:val="center"/>
              <w:rPr>
                <w:rFonts w:eastAsia="仿宋_GB2312"/>
                <w:b/>
                <w:color w:val="000000"/>
                <w:sz w:val="24"/>
              </w:rPr>
            </w:pPr>
            <w:r>
              <w:rPr>
                <w:rFonts w:eastAsia="仿宋_GB2312"/>
                <w:b/>
                <w:color w:val="000000"/>
                <w:kern w:val="0"/>
                <w:sz w:val="24"/>
              </w:rPr>
              <w:t>汇报</w:t>
            </w:r>
          </w:p>
        </w:tc>
        <w:tc>
          <w:tcPr>
            <w:tcW w:w="11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安排专家评委</w:t>
            </w:r>
          </w:p>
        </w:tc>
        <w:tc>
          <w:tcPr>
            <w:tcW w:w="36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Style w:val="27"/>
                <w:rFonts w:hint="default" w:ascii="Times New Roman" w:eastAsia="仿宋" w:cs="Times New Roman"/>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center"/>
              <w:textAlignment w:val="center"/>
              <w:rPr>
                <w:rStyle w:val="27"/>
                <w:rFonts w:hint="default" w:ascii="Times New Roman" w:eastAsia="仿宋" w:cs="Times New Roman"/>
              </w:rPr>
            </w:pP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center"/>
              <w:textAlignment w:val="center"/>
              <w:rPr>
                <w:rStyle w:val="27"/>
                <w:rFonts w:hint="default" w:ascii="Times New Roman" w:eastAsia="仿宋" w:cs="Times New Roman"/>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center"/>
              <w:textAlignment w:val="center"/>
              <w:rPr>
                <w:rStyle w:val="27"/>
                <w:rFonts w:hint="default" w:ascii="Times New Roman" w:eastAsia="仿宋" w:cs="Times New Roman"/>
              </w:rPr>
            </w:pPr>
          </w:p>
        </w:tc>
      </w:tr>
      <w:tr>
        <w:tblPrEx>
          <w:tblLayout w:type="fixed"/>
          <w:tblCellMar>
            <w:top w:w="0" w:type="dxa"/>
            <w:left w:w="0" w:type="dxa"/>
            <w:bottom w:w="0" w:type="dxa"/>
            <w:right w:w="0" w:type="dxa"/>
          </w:tblCellMar>
        </w:tblPrEx>
        <w:trPr>
          <w:trHeight w:val="765" w:hRule="atLeast"/>
        </w:trPr>
        <w:tc>
          <w:tcPr>
            <w:tcW w:w="99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eastAsia="仿宋_GB2312"/>
                <w:b/>
                <w:color w:val="000000"/>
                <w:sz w:val="24"/>
              </w:rPr>
            </w:pPr>
          </w:p>
        </w:tc>
        <w:tc>
          <w:tcPr>
            <w:tcW w:w="11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提供考务工作人员</w:t>
            </w:r>
          </w:p>
        </w:tc>
        <w:tc>
          <w:tcPr>
            <w:tcW w:w="36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pStyle w:val="2"/>
              <w:rPr>
                <w:rStyle w:val="27"/>
                <w:rFonts w:hint="default" w:ascii="Times New Roman" w:hAnsi="Times New Roman" w:eastAsia="仿宋" w:cs="Times New Roman"/>
                <w:kern w:val="2"/>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p>
        </w:tc>
      </w:tr>
      <w:tr>
        <w:tblPrEx>
          <w:tblLayout w:type="fixed"/>
          <w:tblCellMar>
            <w:top w:w="0" w:type="dxa"/>
            <w:left w:w="0" w:type="dxa"/>
            <w:bottom w:w="0" w:type="dxa"/>
            <w:right w:w="0" w:type="dxa"/>
          </w:tblCellMar>
        </w:tblPrEx>
        <w:trPr>
          <w:trHeight w:val="438" w:hRule="atLeast"/>
        </w:trPr>
        <w:tc>
          <w:tcPr>
            <w:tcW w:w="993" w:type="dxa"/>
            <w:vMerge w:val="continue"/>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eastAsia="仿宋_GB2312"/>
                <w:b/>
                <w:color w:val="000000"/>
                <w:sz w:val="24"/>
              </w:rPr>
            </w:pPr>
          </w:p>
        </w:tc>
        <w:tc>
          <w:tcPr>
            <w:tcW w:w="11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场地布置</w:t>
            </w:r>
          </w:p>
        </w:tc>
        <w:tc>
          <w:tcPr>
            <w:tcW w:w="36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Style w:val="27"/>
                <w:rFonts w:hint="default" w:ascii="Times New Roman" w:eastAsia="仿宋" w:cs="Times New Roman"/>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Style w:val="27"/>
                <w:rFonts w:hint="default" w:ascii="Times New Roman" w:eastAsia="仿宋" w:cs="Times New Roman"/>
              </w:rPr>
            </w:pP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Style w:val="27"/>
                <w:rFonts w:hint="default" w:ascii="Times New Roman" w:eastAsia="仿宋" w:cs="Times New Roman"/>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p>
        </w:tc>
      </w:tr>
      <w:tr>
        <w:tblPrEx>
          <w:tblLayout w:type="fixed"/>
          <w:tblCellMar>
            <w:top w:w="0" w:type="dxa"/>
            <w:left w:w="0" w:type="dxa"/>
            <w:bottom w:w="0" w:type="dxa"/>
            <w:right w:w="0" w:type="dxa"/>
          </w:tblCellMar>
        </w:tblPrEx>
        <w:trPr>
          <w:trHeight w:val="474" w:hRule="atLeast"/>
        </w:trPr>
        <w:tc>
          <w:tcPr>
            <w:tcW w:w="993" w:type="dxa"/>
            <w:vMerge w:val="restart"/>
            <w:tcBorders>
              <w:top w:val="single" w:color="000000" w:sz="4" w:space="0"/>
              <w:left w:val="single" w:color="000000" w:sz="4" w:space="0"/>
              <w:right w:val="single" w:color="000000" w:sz="4" w:space="0"/>
            </w:tcBorders>
            <w:shd w:val="clear" w:color="auto" w:fill="auto"/>
            <w:tcMar>
              <w:top w:w="12" w:type="dxa"/>
              <w:left w:w="12" w:type="dxa"/>
              <w:right w:w="12" w:type="dxa"/>
            </w:tcMar>
            <w:vAlign w:val="center"/>
          </w:tcPr>
          <w:p>
            <w:pPr>
              <w:widowControl/>
              <w:jc w:val="center"/>
              <w:textAlignment w:val="center"/>
              <w:rPr>
                <w:rFonts w:eastAsia="仿宋_GB2312"/>
                <w:b/>
                <w:color w:val="000000"/>
                <w:kern w:val="0"/>
                <w:sz w:val="24"/>
              </w:rPr>
            </w:pPr>
            <w:r>
              <w:rPr>
                <w:rFonts w:eastAsia="仿宋_GB2312"/>
                <w:b/>
                <w:color w:val="000000"/>
                <w:kern w:val="0"/>
                <w:sz w:val="24"/>
              </w:rPr>
              <w:t>法学</w:t>
            </w:r>
          </w:p>
          <w:p>
            <w:pPr>
              <w:widowControl/>
              <w:jc w:val="center"/>
              <w:textAlignment w:val="center"/>
              <w:rPr>
                <w:rFonts w:eastAsia="仿宋_GB2312"/>
                <w:b/>
                <w:color w:val="000000"/>
                <w:kern w:val="0"/>
                <w:sz w:val="24"/>
              </w:rPr>
            </w:pPr>
            <w:r>
              <w:rPr>
                <w:rFonts w:eastAsia="仿宋_GB2312"/>
                <w:b/>
                <w:color w:val="000000"/>
                <w:kern w:val="0"/>
                <w:sz w:val="24"/>
              </w:rPr>
              <w:t>知识</w:t>
            </w:r>
          </w:p>
          <w:p>
            <w:pPr>
              <w:widowControl/>
              <w:jc w:val="center"/>
              <w:textAlignment w:val="center"/>
              <w:rPr>
                <w:rFonts w:eastAsia="仿宋_GB2312"/>
                <w:b/>
                <w:color w:val="000000"/>
                <w:sz w:val="24"/>
              </w:rPr>
            </w:pPr>
            <w:r>
              <w:rPr>
                <w:rFonts w:eastAsia="仿宋_GB2312"/>
                <w:b/>
                <w:color w:val="000000"/>
                <w:kern w:val="0"/>
                <w:sz w:val="24"/>
              </w:rPr>
              <w:t>竞答</w:t>
            </w:r>
          </w:p>
        </w:tc>
        <w:tc>
          <w:tcPr>
            <w:tcW w:w="11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出题服务</w:t>
            </w:r>
          </w:p>
        </w:tc>
        <w:tc>
          <w:tcPr>
            <w:tcW w:w="36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pStyle w:val="2"/>
              <w:rPr>
                <w:rStyle w:val="27"/>
                <w:rFonts w:hint="default" w:ascii="Times New Roman" w:hAnsi="Times New Roman" w:eastAsia="仿宋" w:cs="Times New Roman"/>
                <w:kern w:val="2"/>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p>
        </w:tc>
      </w:tr>
      <w:tr>
        <w:tblPrEx>
          <w:tblLayout w:type="fixed"/>
          <w:tblCellMar>
            <w:top w:w="0" w:type="dxa"/>
            <w:left w:w="0" w:type="dxa"/>
            <w:bottom w:w="0" w:type="dxa"/>
            <w:right w:w="0" w:type="dxa"/>
          </w:tblCellMar>
        </w:tblPrEx>
        <w:trPr>
          <w:trHeight w:val="639" w:hRule="atLeast"/>
        </w:trPr>
        <w:tc>
          <w:tcPr>
            <w:tcW w:w="993" w:type="dxa"/>
            <w:vMerge w:val="continue"/>
            <w:tcBorders>
              <w:left w:val="single" w:color="000000" w:sz="4" w:space="0"/>
              <w:right w:val="single" w:color="000000" w:sz="4" w:space="0"/>
            </w:tcBorders>
            <w:shd w:val="clear" w:color="auto" w:fill="auto"/>
            <w:tcMar>
              <w:top w:w="12" w:type="dxa"/>
              <w:left w:w="12" w:type="dxa"/>
              <w:right w:w="12" w:type="dxa"/>
            </w:tcMar>
            <w:vAlign w:val="center"/>
          </w:tcPr>
          <w:p>
            <w:pPr>
              <w:widowControl/>
              <w:jc w:val="center"/>
              <w:textAlignment w:val="center"/>
              <w:rPr>
                <w:rFonts w:eastAsia="仿宋_GB2312"/>
                <w:b/>
                <w:color w:val="000000"/>
                <w:sz w:val="24"/>
              </w:rPr>
            </w:pPr>
          </w:p>
        </w:tc>
        <w:tc>
          <w:tcPr>
            <w:tcW w:w="11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安排评审专家</w:t>
            </w:r>
          </w:p>
        </w:tc>
        <w:tc>
          <w:tcPr>
            <w:tcW w:w="36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Style w:val="27"/>
                <w:rFonts w:hint="default" w:ascii="Times New Roman" w:eastAsia="仿宋" w:cs="Times New Roman"/>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p>
        </w:tc>
      </w:tr>
      <w:tr>
        <w:tblPrEx>
          <w:tblLayout w:type="fixed"/>
          <w:tblCellMar>
            <w:top w:w="0" w:type="dxa"/>
            <w:left w:w="0" w:type="dxa"/>
            <w:bottom w:w="0" w:type="dxa"/>
            <w:right w:w="0" w:type="dxa"/>
          </w:tblCellMar>
        </w:tblPrEx>
        <w:trPr>
          <w:trHeight w:val="588" w:hRule="atLeast"/>
        </w:trPr>
        <w:tc>
          <w:tcPr>
            <w:tcW w:w="993" w:type="dxa"/>
            <w:vMerge w:val="continue"/>
            <w:tcBorders>
              <w:left w:val="single" w:color="000000" w:sz="4" w:space="0"/>
              <w:right w:val="single" w:color="000000" w:sz="4" w:space="0"/>
            </w:tcBorders>
            <w:shd w:val="clear" w:color="auto" w:fill="auto"/>
            <w:tcMar>
              <w:top w:w="12" w:type="dxa"/>
              <w:left w:w="12" w:type="dxa"/>
              <w:right w:w="12" w:type="dxa"/>
            </w:tcMar>
            <w:vAlign w:val="center"/>
          </w:tcPr>
          <w:p>
            <w:pPr>
              <w:jc w:val="center"/>
              <w:rPr>
                <w:rFonts w:eastAsia="仿宋_GB2312"/>
                <w:b/>
                <w:color w:val="000000"/>
                <w:sz w:val="24"/>
              </w:rPr>
            </w:pPr>
          </w:p>
        </w:tc>
        <w:tc>
          <w:tcPr>
            <w:tcW w:w="11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提供考务工作人员</w:t>
            </w:r>
          </w:p>
        </w:tc>
        <w:tc>
          <w:tcPr>
            <w:tcW w:w="36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Style w:val="27"/>
                <w:rFonts w:hint="default" w:ascii="Times New Roman" w:eastAsia="仿宋" w:cs="Times New Roman"/>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p>
        </w:tc>
      </w:tr>
      <w:tr>
        <w:tblPrEx>
          <w:tblLayout w:type="fixed"/>
          <w:tblCellMar>
            <w:top w:w="0" w:type="dxa"/>
            <w:left w:w="0" w:type="dxa"/>
            <w:bottom w:w="0" w:type="dxa"/>
            <w:right w:w="0" w:type="dxa"/>
          </w:tblCellMar>
        </w:tblPrEx>
        <w:trPr>
          <w:trHeight w:val="551" w:hRule="atLeast"/>
        </w:trPr>
        <w:tc>
          <w:tcPr>
            <w:tcW w:w="993" w:type="dxa"/>
            <w:vMerge w:val="continue"/>
            <w:tcBorders>
              <w:left w:val="single" w:color="000000" w:sz="4" w:space="0"/>
              <w:right w:val="single" w:color="000000" w:sz="4" w:space="0"/>
            </w:tcBorders>
            <w:shd w:val="clear" w:color="auto" w:fill="auto"/>
            <w:tcMar>
              <w:top w:w="12" w:type="dxa"/>
              <w:left w:w="12" w:type="dxa"/>
              <w:right w:w="12" w:type="dxa"/>
            </w:tcMar>
            <w:vAlign w:val="center"/>
          </w:tcPr>
          <w:p>
            <w:pPr>
              <w:jc w:val="center"/>
              <w:rPr>
                <w:rFonts w:eastAsia="仿宋_GB2312"/>
                <w:b/>
                <w:color w:val="000000"/>
                <w:sz w:val="24"/>
              </w:rPr>
            </w:pPr>
          </w:p>
        </w:tc>
        <w:tc>
          <w:tcPr>
            <w:tcW w:w="11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提供抢答设备</w:t>
            </w:r>
          </w:p>
        </w:tc>
        <w:tc>
          <w:tcPr>
            <w:tcW w:w="36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Style w:val="27"/>
                <w:rFonts w:hint="default" w:ascii="Times New Roman" w:eastAsia="仿宋" w:cs="Times New Roman"/>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Style w:val="27"/>
                <w:rFonts w:hint="default" w:ascii="Times New Roman" w:eastAsia="仿宋" w:cs="Times New Roman"/>
              </w:rPr>
            </w:pP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p>
        </w:tc>
      </w:tr>
      <w:tr>
        <w:tblPrEx>
          <w:tblLayout w:type="fixed"/>
          <w:tblCellMar>
            <w:top w:w="0" w:type="dxa"/>
            <w:left w:w="0" w:type="dxa"/>
            <w:bottom w:w="0" w:type="dxa"/>
            <w:right w:w="0" w:type="dxa"/>
          </w:tblCellMar>
        </w:tblPrEx>
        <w:trPr>
          <w:trHeight w:val="846" w:hRule="atLeast"/>
        </w:trPr>
        <w:tc>
          <w:tcPr>
            <w:tcW w:w="993" w:type="dxa"/>
            <w:vMerge w:val="continue"/>
            <w:tcBorders>
              <w:left w:val="single" w:color="000000" w:sz="4" w:space="0"/>
              <w:right w:val="single" w:color="000000" w:sz="4" w:space="0"/>
            </w:tcBorders>
            <w:shd w:val="clear" w:color="auto" w:fill="auto"/>
            <w:tcMar>
              <w:top w:w="12" w:type="dxa"/>
              <w:left w:w="12" w:type="dxa"/>
              <w:right w:w="12" w:type="dxa"/>
            </w:tcMar>
            <w:vAlign w:val="center"/>
          </w:tcPr>
          <w:p>
            <w:pPr>
              <w:jc w:val="center"/>
              <w:rPr>
                <w:rFonts w:eastAsia="仿宋_GB2312"/>
                <w:b/>
                <w:color w:val="000000"/>
                <w:sz w:val="24"/>
              </w:rPr>
            </w:pPr>
          </w:p>
        </w:tc>
        <w:tc>
          <w:tcPr>
            <w:tcW w:w="11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场地布置</w:t>
            </w:r>
          </w:p>
        </w:tc>
        <w:tc>
          <w:tcPr>
            <w:tcW w:w="36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Style w:val="27"/>
                <w:rFonts w:hint="default" w:ascii="Times New Roman" w:eastAsia="仿宋" w:cs="Times New Roman"/>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Style w:val="27"/>
                <w:rFonts w:hint="default" w:ascii="Times New Roman" w:eastAsia="仿宋" w:cs="Times New Roman"/>
              </w:rPr>
            </w:pP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Style w:val="27"/>
                <w:rFonts w:hint="default" w:ascii="Times New Roman" w:eastAsia="仿宋" w:cs="Times New Roman"/>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p>
        </w:tc>
      </w:tr>
      <w:tr>
        <w:tblPrEx>
          <w:tblLayout w:type="fixed"/>
          <w:tblCellMar>
            <w:top w:w="0" w:type="dxa"/>
            <w:left w:w="0" w:type="dxa"/>
            <w:bottom w:w="0" w:type="dxa"/>
            <w:right w:w="0" w:type="dxa"/>
          </w:tblCellMar>
        </w:tblPrEx>
        <w:trPr>
          <w:trHeight w:val="555" w:hRule="atLeast"/>
        </w:trPr>
        <w:tc>
          <w:tcPr>
            <w:tcW w:w="993" w:type="dxa"/>
            <w:vMerge w:val="continue"/>
            <w:tcBorders>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eastAsia="仿宋_GB2312"/>
                <w:b/>
                <w:color w:val="000000"/>
                <w:sz w:val="24"/>
              </w:rPr>
            </w:pPr>
          </w:p>
        </w:tc>
        <w:tc>
          <w:tcPr>
            <w:tcW w:w="11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制作奖杯奖牌等</w:t>
            </w:r>
          </w:p>
        </w:tc>
        <w:tc>
          <w:tcPr>
            <w:tcW w:w="36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pStyle w:val="2"/>
              <w:rPr>
                <w:rStyle w:val="27"/>
                <w:rFonts w:hint="default" w:ascii="Times New Roman" w:hAnsi="Times New Roman" w:eastAsia="仿宋" w:cs="Times New Roman"/>
                <w:kern w:val="2"/>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Style w:val="27"/>
                <w:rFonts w:hint="default" w:ascii="Times New Roman" w:eastAsia="仿宋" w:cs="Times New Roman"/>
              </w:rPr>
            </w:pP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Style w:val="27"/>
                <w:rFonts w:hint="default" w:ascii="Times New Roman" w:eastAsia="仿宋" w:cs="Times New Roman"/>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p>
        </w:tc>
      </w:tr>
      <w:tr>
        <w:tblPrEx>
          <w:tblLayout w:type="fixed"/>
          <w:tblCellMar>
            <w:top w:w="0" w:type="dxa"/>
            <w:left w:w="0" w:type="dxa"/>
            <w:bottom w:w="0" w:type="dxa"/>
            <w:right w:w="0" w:type="dxa"/>
          </w:tblCellMar>
        </w:tblPrEx>
        <w:trPr>
          <w:trHeight w:val="600" w:hRule="atLeast"/>
        </w:trPr>
        <w:tc>
          <w:tcPr>
            <w:tcW w:w="993" w:type="dxa"/>
            <w:tcBorders>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eastAsia="仿宋_GB2312"/>
                <w:b/>
                <w:color w:val="000000"/>
                <w:sz w:val="24"/>
              </w:rPr>
            </w:pPr>
          </w:p>
        </w:tc>
        <w:tc>
          <w:tcPr>
            <w:tcW w:w="114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r>
              <w:rPr>
                <w:rStyle w:val="27"/>
                <w:rFonts w:hint="default" w:ascii="Times New Roman" w:eastAsia="仿宋" w:cs="Times New Roman"/>
              </w:rPr>
              <w:t>服务费</w:t>
            </w:r>
          </w:p>
        </w:tc>
        <w:tc>
          <w:tcPr>
            <w:tcW w:w="368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widowControl/>
              <w:jc w:val="left"/>
              <w:textAlignment w:val="center"/>
              <w:rPr>
                <w:rStyle w:val="27"/>
                <w:rFonts w:hint="default" w:ascii="Times New Roman" w:eastAsia="仿宋" w:cs="Times New Roman"/>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Style w:val="27"/>
                <w:rFonts w:hint="default" w:ascii="Times New Roman" w:eastAsia="仿宋" w:cs="Times New Roman"/>
              </w:rPr>
            </w:pP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left"/>
              <w:rPr>
                <w:rStyle w:val="27"/>
                <w:rFonts w:hint="default" w:ascii="Times New Roman" w:eastAsia="仿宋" w:cs="Times New Roman"/>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Style w:val="27"/>
                <w:rFonts w:hint="default" w:ascii="Times New Roman" w:eastAsia="仿宋" w:cs="Times New Roman"/>
              </w:rPr>
            </w:pPr>
          </w:p>
        </w:tc>
      </w:tr>
      <w:tr>
        <w:tblPrEx>
          <w:tblLayout w:type="fixed"/>
          <w:tblCellMar>
            <w:top w:w="0" w:type="dxa"/>
            <w:left w:w="0" w:type="dxa"/>
            <w:bottom w:w="0" w:type="dxa"/>
            <w:right w:w="0" w:type="dxa"/>
          </w:tblCellMar>
        </w:tblPrEx>
        <w:trPr>
          <w:trHeight w:val="411" w:hRule="atLeast"/>
        </w:trPr>
        <w:tc>
          <w:tcPr>
            <w:tcW w:w="2139" w:type="dxa"/>
            <w:gridSpan w:val="2"/>
            <w:tcBorders>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center"/>
              <w:textAlignment w:val="center"/>
              <w:rPr>
                <w:rFonts w:eastAsia="仿宋"/>
                <w:color w:val="000000"/>
                <w:kern w:val="0"/>
                <w:sz w:val="24"/>
              </w:rPr>
            </w:pPr>
            <w:r>
              <w:rPr>
                <w:rFonts w:eastAsia="仿宋_GB2312"/>
                <w:b/>
                <w:color w:val="000000"/>
                <w:kern w:val="0"/>
                <w:sz w:val="24"/>
              </w:rPr>
              <w:t>合计</w:t>
            </w:r>
          </w:p>
        </w:tc>
        <w:tc>
          <w:tcPr>
            <w:tcW w:w="3685" w:type="dxa"/>
            <w:tcBorders>
              <w:left w:val="single" w:color="000000" w:sz="4" w:space="0"/>
              <w:bottom w:val="single" w:color="000000" w:sz="4" w:space="0"/>
              <w:right w:val="single" w:color="000000" w:sz="4" w:space="0"/>
            </w:tcBorders>
            <w:tcMar>
              <w:top w:w="12" w:type="dxa"/>
              <w:left w:w="12" w:type="dxa"/>
              <w:right w:w="12" w:type="dxa"/>
            </w:tcMar>
          </w:tcPr>
          <w:p>
            <w:pPr>
              <w:jc w:val="center"/>
              <w:rPr>
                <w:rFonts w:eastAsia="仿宋"/>
                <w:color w:val="000000"/>
                <w:sz w:val="24"/>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eastAsia="仿宋"/>
                <w:color w:val="000000"/>
                <w:sz w:val="24"/>
              </w:rPr>
            </w:pP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jc w:val="center"/>
              <w:rPr>
                <w:rFonts w:eastAsia="仿宋"/>
                <w:color w:val="000000"/>
                <w:sz w:val="24"/>
              </w:rPr>
            </w:pPr>
          </w:p>
        </w:tc>
        <w:tc>
          <w:tcPr>
            <w:tcW w:w="1410"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widowControl/>
              <w:jc w:val="left"/>
              <w:textAlignment w:val="center"/>
              <w:rPr>
                <w:rFonts w:eastAsia="仿宋"/>
                <w:color w:val="000000"/>
                <w:kern w:val="0"/>
                <w:sz w:val="24"/>
              </w:rPr>
            </w:pPr>
          </w:p>
        </w:tc>
      </w:tr>
    </w:tbl>
    <w:p>
      <w:pPr>
        <w:pStyle w:val="2"/>
        <w:tabs>
          <w:tab w:val="left" w:pos="651"/>
        </w:tabs>
      </w:pPr>
    </w:p>
    <w:p>
      <w:pPr>
        <w:pStyle w:val="3"/>
      </w:pPr>
    </w:p>
    <w:p/>
    <w:p>
      <w:pPr>
        <w:pStyle w:val="5"/>
        <w:spacing w:line="240" w:lineRule="auto"/>
        <w:jc w:val="center"/>
        <w:rPr>
          <w:rFonts w:hint="eastAsia"/>
          <w:b w:val="0"/>
        </w:rPr>
      </w:pPr>
    </w:p>
    <w:p>
      <w:pPr>
        <w:pStyle w:val="5"/>
        <w:spacing w:line="240" w:lineRule="auto"/>
        <w:jc w:val="center"/>
        <w:rPr>
          <w:rFonts w:ascii="华文中宋" w:hAnsi="华文中宋" w:eastAsia="华文中宋"/>
          <w:b w:val="0"/>
          <w:sz w:val="44"/>
          <w:szCs w:val="44"/>
        </w:rPr>
      </w:pPr>
      <w:r>
        <w:rPr>
          <w:rFonts w:hint="eastAsia"/>
          <w:b w:val="0"/>
        </w:rPr>
        <w:t>投标符合性承诺书</w:t>
      </w:r>
      <w:bookmarkEnd w:id="73"/>
      <w:bookmarkEnd w:id="74"/>
      <w:bookmarkEnd w:id="75"/>
      <w:bookmarkEnd w:id="76"/>
      <w:bookmarkEnd w:id="77"/>
    </w:p>
    <w:p>
      <w:pPr>
        <w:tabs>
          <w:tab w:val="left" w:pos="5355"/>
        </w:tabs>
        <w:jc w:val="left"/>
        <w:rPr>
          <w:rFonts w:ascii="仿宋_GB2312" w:hAnsi="宋体" w:eastAsia="仿宋_GB2312"/>
          <w:sz w:val="24"/>
        </w:rPr>
      </w:pPr>
      <w:r>
        <w:rPr>
          <w:rFonts w:hint="eastAsia" w:ascii="仿宋_GB2312" w:hAnsi="宋体" w:eastAsia="仿宋_GB2312"/>
          <w:sz w:val="24"/>
        </w:rPr>
        <w:t>(投标人根据询价服务要求，结合自身实际情况进行承诺。)</w:t>
      </w:r>
    </w:p>
    <w:p>
      <w:pPr>
        <w:tabs>
          <w:tab w:val="left" w:pos="5355"/>
        </w:tabs>
        <w:rPr>
          <w:rFonts w:ascii="宋体" w:hAnsi="宋体"/>
          <w:sz w:val="24"/>
        </w:rPr>
      </w:pPr>
    </w:p>
    <w:p>
      <w:pPr>
        <w:tabs>
          <w:tab w:val="left" w:pos="5355"/>
        </w:tabs>
        <w:rPr>
          <w:rFonts w:ascii="宋体" w:hAnsi="宋体"/>
          <w:sz w:val="24"/>
        </w:rPr>
      </w:pPr>
    </w:p>
    <w:p>
      <w:pPr>
        <w:tabs>
          <w:tab w:val="left" w:pos="5355"/>
        </w:tabs>
        <w:rPr>
          <w:rFonts w:ascii="宋体" w:hAnsi="宋体"/>
          <w:sz w:val="24"/>
        </w:rPr>
      </w:pPr>
    </w:p>
    <w:p>
      <w:pPr>
        <w:tabs>
          <w:tab w:val="left" w:pos="5355"/>
        </w:tabs>
        <w:rPr>
          <w:rFonts w:ascii="宋体" w:hAnsi="宋体"/>
          <w:sz w:val="24"/>
        </w:rPr>
      </w:pPr>
    </w:p>
    <w:p>
      <w:pPr>
        <w:tabs>
          <w:tab w:val="left" w:pos="5355"/>
        </w:tabs>
        <w:rPr>
          <w:rFonts w:ascii="宋体" w:hAnsi="宋体"/>
          <w:sz w:val="24"/>
        </w:rPr>
      </w:pPr>
    </w:p>
    <w:p>
      <w:pPr>
        <w:tabs>
          <w:tab w:val="left" w:pos="5355"/>
        </w:tabs>
        <w:rPr>
          <w:rFonts w:ascii="宋体" w:hAnsi="宋体"/>
          <w:sz w:val="24"/>
        </w:rPr>
      </w:pPr>
    </w:p>
    <w:p>
      <w:pPr>
        <w:tabs>
          <w:tab w:val="left" w:pos="5355"/>
        </w:tabs>
        <w:rPr>
          <w:rFonts w:ascii="宋体" w:hAnsi="宋体"/>
          <w:sz w:val="24"/>
        </w:rPr>
      </w:pPr>
    </w:p>
    <w:p>
      <w:pPr>
        <w:tabs>
          <w:tab w:val="left" w:pos="5355"/>
        </w:tabs>
        <w:rPr>
          <w:rFonts w:ascii="宋体" w:hAnsi="宋体"/>
          <w:sz w:val="24"/>
        </w:rPr>
      </w:pPr>
    </w:p>
    <w:p>
      <w:pPr>
        <w:tabs>
          <w:tab w:val="left" w:pos="5355"/>
        </w:tabs>
        <w:rPr>
          <w:rFonts w:ascii="宋体" w:hAnsi="宋体"/>
          <w:sz w:val="24"/>
        </w:rPr>
      </w:pPr>
    </w:p>
    <w:p>
      <w:pPr>
        <w:tabs>
          <w:tab w:val="left" w:pos="5355"/>
        </w:tabs>
        <w:rPr>
          <w:rFonts w:ascii="宋体" w:hAnsi="宋体"/>
          <w:sz w:val="24"/>
        </w:rPr>
      </w:pPr>
    </w:p>
    <w:p>
      <w:pPr>
        <w:tabs>
          <w:tab w:val="left" w:pos="5355"/>
        </w:tabs>
        <w:rPr>
          <w:rFonts w:ascii="宋体" w:hAnsi="宋体"/>
          <w:sz w:val="24"/>
        </w:rPr>
      </w:pPr>
    </w:p>
    <w:p>
      <w:pPr>
        <w:tabs>
          <w:tab w:val="left" w:pos="5355"/>
        </w:tabs>
        <w:rPr>
          <w:rFonts w:ascii="仿宋_GB2312" w:hAnsi="宋体" w:eastAsia="仿宋_GB2312"/>
          <w:sz w:val="24"/>
        </w:rPr>
      </w:pPr>
      <w:r>
        <w:rPr>
          <w:rFonts w:hint="eastAsia" w:ascii="仿宋_GB2312" w:hAnsi="宋体" w:eastAsia="仿宋_GB2312"/>
          <w:sz w:val="24"/>
        </w:rPr>
        <w:t>投标人名称（全称并加公章）：</w:t>
      </w:r>
    </w:p>
    <w:p>
      <w:pPr>
        <w:tabs>
          <w:tab w:val="left" w:pos="5355"/>
        </w:tabs>
        <w:rPr>
          <w:rFonts w:ascii="仿宋_GB2312" w:hAnsi="宋体" w:eastAsia="仿宋_GB2312"/>
          <w:sz w:val="24"/>
        </w:rPr>
      </w:pPr>
    </w:p>
    <w:p>
      <w:pPr>
        <w:tabs>
          <w:tab w:val="left" w:pos="5355"/>
        </w:tabs>
        <w:rPr>
          <w:rFonts w:ascii="仿宋_GB2312" w:hAnsi="宋体" w:eastAsia="仿宋_GB2312"/>
          <w:sz w:val="24"/>
        </w:rPr>
      </w:pPr>
      <w:r>
        <w:rPr>
          <w:rFonts w:hint="eastAsia" w:ascii="仿宋_GB2312" w:hAnsi="宋体" w:eastAsia="仿宋_GB2312"/>
          <w:sz w:val="24"/>
        </w:rPr>
        <w:t>投标人代表签字：</w:t>
      </w:r>
    </w:p>
    <w:p>
      <w:pPr>
        <w:tabs>
          <w:tab w:val="left" w:pos="5355"/>
        </w:tabs>
        <w:rPr>
          <w:rFonts w:ascii="仿宋_GB2312" w:hAnsi="宋体" w:eastAsia="仿宋_GB2312"/>
          <w:sz w:val="24"/>
        </w:rPr>
      </w:pPr>
    </w:p>
    <w:p>
      <w:pPr>
        <w:tabs>
          <w:tab w:val="left" w:pos="5355"/>
        </w:tabs>
        <w:rPr>
          <w:rFonts w:ascii="仿宋_GB2312" w:hAnsi="宋体" w:eastAsia="仿宋_GB2312"/>
          <w:sz w:val="24"/>
        </w:rPr>
      </w:pPr>
      <w:r>
        <w:rPr>
          <w:rFonts w:hint="eastAsia" w:ascii="仿宋_GB2312" w:hAnsi="宋体" w:eastAsia="仿宋_GB2312"/>
          <w:sz w:val="24"/>
        </w:rPr>
        <w:t>日期：     年    月   日</w:t>
      </w:r>
    </w:p>
    <w:p>
      <w:pPr>
        <w:spacing w:beforeLines="50" w:afterLines="50"/>
        <w:rPr>
          <w:rFonts w:ascii="仿宋_GB2312" w:eastAsia="仿宋_GB2312"/>
          <w:color w:val="008080"/>
          <w:sz w:val="24"/>
        </w:rPr>
      </w:pPr>
    </w:p>
    <w:p>
      <w:pPr>
        <w:tabs>
          <w:tab w:val="left" w:pos="5355"/>
        </w:tabs>
        <w:spacing w:beforeLines="100" w:afterLines="100"/>
        <w:jc w:val="center"/>
        <w:outlineLvl w:val="1"/>
        <w:rPr>
          <w:rFonts w:ascii="华文中宋" w:hAnsi="华文中宋" w:eastAsia="华文中宋"/>
          <w:b/>
          <w:sz w:val="44"/>
          <w:szCs w:val="44"/>
        </w:rPr>
      </w:pPr>
      <w:bookmarkStart w:id="78" w:name="_Toc252350235"/>
      <w:bookmarkStart w:id="79" w:name="_Toc225312846"/>
    </w:p>
    <w:p>
      <w:pPr>
        <w:ind w:firstLine="880" w:firstLineChars="200"/>
        <w:outlineLvl w:val="1"/>
        <w:rPr>
          <w:b/>
          <w:sz w:val="24"/>
        </w:rPr>
      </w:pPr>
      <w:r>
        <w:rPr>
          <w:rFonts w:ascii="华文中宋" w:hAnsi="华文中宋" w:eastAsia="华文中宋"/>
          <w:sz w:val="44"/>
          <w:szCs w:val="44"/>
        </w:rPr>
        <w:br w:type="page"/>
      </w:r>
      <w:bookmarkEnd w:id="78"/>
      <w:bookmarkEnd w:id="79"/>
    </w:p>
    <w:p>
      <w:pPr>
        <w:pStyle w:val="5"/>
        <w:spacing w:line="240" w:lineRule="auto"/>
        <w:jc w:val="center"/>
        <w:rPr>
          <w:b w:val="0"/>
        </w:rPr>
      </w:pPr>
      <w:bookmarkStart w:id="80" w:name="_Toc1608465060"/>
      <w:bookmarkStart w:id="81" w:name="_Toc2016090090"/>
      <w:bookmarkStart w:id="82" w:name="_Toc1159993662"/>
      <w:bookmarkStart w:id="83" w:name="_Toc1119940080"/>
      <w:r>
        <w:rPr>
          <w:rFonts w:hint="eastAsia"/>
          <w:b w:val="0"/>
        </w:rPr>
        <w:t>投标人须提供的资格证明文件</w:t>
      </w:r>
      <w:bookmarkEnd w:id="80"/>
      <w:bookmarkEnd w:id="81"/>
      <w:bookmarkEnd w:id="82"/>
      <w:bookmarkEnd w:id="83"/>
    </w:p>
    <w:p>
      <w:pPr>
        <w:spacing w:line="520" w:lineRule="exact"/>
        <w:ind w:firstLine="735" w:firstLineChars="245"/>
        <w:rPr>
          <w:rFonts w:ascii="仿宋_GB2312" w:hAnsi="宋体" w:eastAsia="仿宋_GB2312"/>
          <w:sz w:val="30"/>
          <w:szCs w:val="30"/>
        </w:rPr>
      </w:pPr>
      <w:r>
        <w:rPr>
          <w:rFonts w:hint="eastAsia" w:ascii="仿宋_GB2312" w:hAnsi="宋体" w:eastAsia="仿宋_GB2312"/>
          <w:sz w:val="30"/>
          <w:szCs w:val="30"/>
        </w:rPr>
        <w:t>a.营业执照</w:t>
      </w:r>
    </w:p>
    <w:p>
      <w:pPr>
        <w:spacing w:line="520" w:lineRule="exact"/>
        <w:ind w:firstLine="735" w:firstLineChars="245"/>
        <w:rPr>
          <w:rFonts w:ascii="仿宋_GB2312" w:hAnsi="宋体" w:eastAsia="仿宋_GB2312"/>
          <w:sz w:val="30"/>
          <w:szCs w:val="30"/>
        </w:rPr>
      </w:pPr>
      <w:r>
        <w:rPr>
          <w:rFonts w:hint="eastAsia" w:ascii="仿宋_GB2312" w:hAnsi="宋体" w:eastAsia="仿宋_GB2312"/>
          <w:sz w:val="30"/>
          <w:szCs w:val="30"/>
          <w:lang w:val="en-US" w:eastAsia="zh-CN"/>
        </w:rPr>
        <w:t>b</w:t>
      </w:r>
      <w:r>
        <w:rPr>
          <w:rFonts w:hint="eastAsia" w:ascii="仿宋_GB2312" w:hAnsi="宋体" w:eastAsia="仿宋_GB2312"/>
          <w:sz w:val="30"/>
          <w:szCs w:val="30"/>
        </w:rPr>
        <w:t>.法定代表人授权书</w:t>
      </w:r>
    </w:p>
    <w:p/>
    <w:sectPr>
      <w:pgSz w:w="11906" w:h="16838"/>
      <w:pgMar w:top="1418" w:right="1531" w:bottom="1418"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宋体-18030">
    <w:altName w:val="微软雅黑"/>
    <w:panose1 w:val="00000000000000000000"/>
    <w:charset w:val="86"/>
    <w:family w:val="modern"/>
    <w:pitch w:val="default"/>
    <w:sig w:usb0="00000000" w:usb1="00000000" w:usb2="000A005E" w:usb3="00000000" w:csb0="00040001"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round" w:vAnchor="text" w:hAnchor="margin" w:xAlign="center" w:y="1"/>
      <w:rPr>
        <w:rStyle w:val="19"/>
      </w:rPr>
    </w:pPr>
    <w:r>
      <w:rPr>
        <w:rStyle w:val="19"/>
      </w:rPr>
      <w:fldChar w:fldCharType="begin"/>
    </w:r>
    <w:r>
      <w:rPr>
        <w:rStyle w:val="19"/>
      </w:rPr>
      <w:instrText xml:space="preserve">PAGE  </w:instrText>
    </w:r>
    <w:r>
      <w:rPr>
        <w:rStyle w:val="19"/>
      </w:rPr>
      <w:fldChar w:fldCharType="separate"/>
    </w:r>
    <w:r>
      <w:rPr>
        <w:rStyle w:val="19"/>
      </w:rPr>
      <w:t>14</w:t>
    </w:r>
    <w:r>
      <w:rPr>
        <w:rStyle w:val="19"/>
      </w:rPr>
      <w:fldChar w:fldCharType="end"/>
    </w:r>
  </w:p>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round" w:vAnchor="text" w:hAnchor="margin" w:xAlign="center" w:y="1"/>
      <w:rPr>
        <w:rStyle w:val="19"/>
      </w:rPr>
    </w:pPr>
    <w:r>
      <w:rPr>
        <w:rStyle w:val="19"/>
      </w:rPr>
      <w:fldChar w:fldCharType="begin"/>
    </w:r>
    <w:r>
      <w:rPr>
        <w:rStyle w:val="19"/>
      </w:rPr>
      <w:instrText xml:space="preserve">PAGE  </w:instrText>
    </w:r>
    <w:r>
      <w:rPr>
        <w:rStyle w:val="19"/>
      </w:rPr>
      <w:fldChar w:fldCharType="end"/>
    </w:r>
  </w:p>
  <w:p>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4925D7"/>
    <w:multiLevelType w:val="multilevel"/>
    <w:tmpl w:val="554925D7"/>
    <w:lvl w:ilvl="0" w:tentative="0">
      <w:start w:val="1"/>
      <w:numFmt w:val="japaneseCounting"/>
      <w:pStyle w:val="25"/>
      <w:lvlText w:val="%1、"/>
      <w:lvlJc w:val="left"/>
      <w:pPr>
        <w:tabs>
          <w:tab w:val="left" w:pos="720"/>
        </w:tabs>
        <w:ind w:left="720" w:hanging="720"/>
      </w:pPr>
      <w:rPr>
        <w:rFonts w:hint="default"/>
      </w:rPr>
    </w:lvl>
    <w:lvl w:ilvl="1" w:tentative="0">
      <w:start w:val="5"/>
      <w:numFmt w:val="decimal"/>
      <w:lvlText w:val="%2、"/>
      <w:lvlJc w:val="left"/>
      <w:pPr>
        <w:tabs>
          <w:tab w:val="left" w:pos="780"/>
        </w:tabs>
        <w:ind w:left="780" w:hanging="360"/>
      </w:pPr>
      <w:rPr>
        <w:rFonts w:hint="default" w:cs="Arial"/>
        <w:b/>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57DCAD4F"/>
    <w:multiLevelType w:val="singleLevel"/>
    <w:tmpl w:val="57DCAD4F"/>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embedSystemFonts/>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jM5YzFiOWViMzNjMTQ4YWM4MTY4Mjc2MGQ5ZmNmOTgifQ=="/>
  </w:docVars>
  <w:rsids>
    <w:rsidRoot w:val="3B365378"/>
    <w:rsid w:val="000B2DA2"/>
    <w:rsid w:val="000F15B8"/>
    <w:rsid w:val="0012779B"/>
    <w:rsid w:val="001A0C2A"/>
    <w:rsid w:val="002435DC"/>
    <w:rsid w:val="002C1DBB"/>
    <w:rsid w:val="00302608"/>
    <w:rsid w:val="0034290B"/>
    <w:rsid w:val="003760AA"/>
    <w:rsid w:val="004237FD"/>
    <w:rsid w:val="004900B5"/>
    <w:rsid w:val="004D0A90"/>
    <w:rsid w:val="005252AC"/>
    <w:rsid w:val="005E088F"/>
    <w:rsid w:val="005E2E05"/>
    <w:rsid w:val="00784E5B"/>
    <w:rsid w:val="007A45DF"/>
    <w:rsid w:val="00995BDC"/>
    <w:rsid w:val="00A608E2"/>
    <w:rsid w:val="00AB6A92"/>
    <w:rsid w:val="00AE0CB5"/>
    <w:rsid w:val="00D003D8"/>
    <w:rsid w:val="00D0353A"/>
    <w:rsid w:val="00D8029D"/>
    <w:rsid w:val="00D978B2"/>
    <w:rsid w:val="00DF6E12"/>
    <w:rsid w:val="00E56B3D"/>
    <w:rsid w:val="00E718F8"/>
    <w:rsid w:val="00EC2ACD"/>
    <w:rsid w:val="00ED1232"/>
    <w:rsid w:val="00F810E3"/>
    <w:rsid w:val="00FC4E46"/>
    <w:rsid w:val="022C3356"/>
    <w:rsid w:val="04B01825"/>
    <w:rsid w:val="070A1DFF"/>
    <w:rsid w:val="0C0437CD"/>
    <w:rsid w:val="0C7F1D35"/>
    <w:rsid w:val="0D602BDE"/>
    <w:rsid w:val="0DB90865"/>
    <w:rsid w:val="0DC12F63"/>
    <w:rsid w:val="0FC73F38"/>
    <w:rsid w:val="116702C6"/>
    <w:rsid w:val="121679D5"/>
    <w:rsid w:val="146A6FC8"/>
    <w:rsid w:val="14FE315D"/>
    <w:rsid w:val="17F5414C"/>
    <w:rsid w:val="1809612F"/>
    <w:rsid w:val="18AF64F3"/>
    <w:rsid w:val="190D179D"/>
    <w:rsid w:val="19684AEF"/>
    <w:rsid w:val="1A381F7B"/>
    <w:rsid w:val="1AB81E4B"/>
    <w:rsid w:val="1C6F095B"/>
    <w:rsid w:val="1C897A33"/>
    <w:rsid w:val="1CC67669"/>
    <w:rsid w:val="1DB7566B"/>
    <w:rsid w:val="21443C6E"/>
    <w:rsid w:val="236661F1"/>
    <w:rsid w:val="28562ABC"/>
    <w:rsid w:val="301A21ED"/>
    <w:rsid w:val="37F8682E"/>
    <w:rsid w:val="386C0DEF"/>
    <w:rsid w:val="392B14E9"/>
    <w:rsid w:val="39CE47DE"/>
    <w:rsid w:val="39D66ECF"/>
    <w:rsid w:val="3AFD50B8"/>
    <w:rsid w:val="3B365378"/>
    <w:rsid w:val="3C494967"/>
    <w:rsid w:val="3CD55033"/>
    <w:rsid w:val="3CDD10DC"/>
    <w:rsid w:val="3E6065C4"/>
    <w:rsid w:val="3FB7191C"/>
    <w:rsid w:val="41DA4B5C"/>
    <w:rsid w:val="43DA4315"/>
    <w:rsid w:val="44EE538A"/>
    <w:rsid w:val="45DF28EC"/>
    <w:rsid w:val="47E12CEE"/>
    <w:rsid w:val="482648D3"/>
    <w:rsid w:val="489E45BA"/>
    <w:rsid w:val="4A3A75AC"/>
    <w:rsid w:val="4AE46758"/>
    <w:rsid w:val="4B37204D"/>
    <w:rsid w:val="4DA067E1"/>
    <w:rsid w:val="4DCE15E5"/>
    <w:rsid w:val="4E3B562A"/>
    <w:rsid w:val="4F3A11E9"/>
    <w:rsid w:val="4F420B34"/>
    <w:rsid w:val="548F3093"/>
    <w:rsid w:val="54945B7D"/>
    <w:rsid w:val="56B70D69"/>
    <w:rsid w:val="57711639"/>
    <w:rsid w:val="57C13794"/>
    <w:rsid w:val="58202D05"/>
    <w:rsid w:val="58772FB4"/>
    <w:rsid w:val="5B3770E2"/>
    <w:rsid w:val="5B692129"/>
    <w:rsid w:val="5E5F6436"/>
    <w:rsid w:val="61857988"/>
    <w:rsid w:val="61D05140"/>
    <w:rsid w:val="61DE3DF9"/>
    <w:rsid w:val="61FB0A81"/>
    <w:rsid w:val="626A64C7"/>
    <w:rsid w:val="63666461"/>
    <w:rsid w:val="63BF58D2"/>
    <w:rsid w:val="6632361A"/>
    <w:rsid w:val="663E548F"/>
    <w:rsid w:val="668B554A"/>
    <w:rsid w:val="670B44A8"/>
    <w:rsid w:val="683A2A72"/>
    <w:rsid w:val="6AE2690A"/>
    <w:rsid w:val="6DF843EE"/>
    <w:rsid w:val="6E6BB09E"/>
    <w:rsid w:val="73A8201E"/>
    <w:rsid w:val="741348F7"/>
    <w:rsid w:val="743E5125"/>
    <w:rsid w:val="76115C92"/>
    <w:rsid w:val="770E3343"/>
    <w:rsid w:val="79D93CDC"/>
    <w:rsid w:val="7B8909DA"/>
    <w:rsid w:val="7C333022"/>
    <w:rsid w:val="7D5F3A34"/>
    <w:rsid w:val="7F3E7101"/>
    <w:rsid w:val="7F937E30"/>
    <w:rsid w:val="87FBD23C"/>
    <w:rsid w:val="9F35BE62"/>
    <w:rsid w:val="EDBFF34A"/>
    <w:rsid w:val="FFB99927"/>
    <w:rsid w:val="FFFC1BB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spacing w:before="340" w:after="330" w:line="578" w:lineRule="auto"/>
      <w:outlineLvl w:val="0"/>
    </w:pPr>
    <w:rPr>
      <w:b/>
      <w:bCs/>
      <w:kern w:val="44"/>
      <w:sz w:val="44"/>
      <w:szCs w:val="44"/>
    </w:rPr>
  </w:style>
  <w:style w:type="paragraph" w:styleId="5">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6">
    <w:name w:val="heading 3"/>
    <w:basedOn w:val="1"/>
    <w:next w:val="1"/>
    <w:qFormat/>
    <w:uiPriority w:val="0"/>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21">
    <w:name w:val="Normal Table"/>
    <w:unhideWhenUsed/>
    <w:qFormat/>
    <w:uiPriority w:val="99"/>
    <w:tblPr>
      <w:tblLayout w:type="fixed"/>
      <w:tblCellMar>
        <w:top w:w="0" w:type="dxa"/>
        <w:left w:w="108" w:type="dxa"/>
        <w:bottom w:w="0" w:type="dxa"/>
        <w:right w:w="108" w:type="dxa"/>
      </w:tblCellMar>
    </w:tblPr>
  </w:style>
  <w:style w:type="paragraph" w:customStyle="1" w:styleId="2">
    <w:name w:val="Default"/>
    <w:next w:val="3"/>
    <w:qFormat/>
    <w:uiPriority w:val="99"/>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3">
    <w:name w:val="index 5"/>
    <w:basedOn w:val="1"/>
    <w:next w:val="1"/>
    <w:qFormat/>
    <w:uiPriority w:val="0"/>
    <w:pPr>
      <w:ind w:left="1680"/>
    </w:pPr>
  </w:style>
  <w:style w:type="paragraph" w:styleId="7">
    <w:name w:val="Normal Indent"/>
    <w:basedOn w:val="1"/>
    <w:qFormat/>
    <w:uiPriority w:val="0"/>
    <w:pPr>
      <w:adjustRightInd w:val="0"/>
      <w:spacing w:line="360" w:lineRule="atLeast"/>
      <w:ind w:firstLine="420"/>
    </w:pPr>
    <w:rPr>
      <w:rFonts w:ascii="宋体" w:hAnsi="宋体"/>
      <w:szCs w:val="20"/>
    </w:rPr>
  </w:style>
  <w:style w:type="paragraph" w:styleId="8">
    <w:name w:val="annotation text"/>
    <w:basedOn w:val="1"/>
    <w:qFormat/>
    <w:uiPriority w:val="0"/>
    <w:pPr>
      <w:jc w:val="left"/>
    </w:pPr>
  </w:style>
  <w:style w:type="paragraph" w:styleId="9">
    <w:name w:val="Body Text Indent"/>
    <w:basedOn w:val="1"/>
    <w:qFormat/>
    <w:uiPriority w:val="0"/>
    <w:pPr>
      <w:ind w:firstLine="555"/>
    </w:pPr>
    <w:rPr>
      <w:rFonts w:eastAsia="仿宋_GB2312"/>
      <w:sz w:val="28"/>
    </w:rPr>
  </w:style>
  <w:style w:type="paragraph" w:styleId="10">
    <w:name w:val="toc 3"/>
    <w:basedOn w:val="1"/>
    <w:next w:val="1"/>
    <w:semiHidden/>
    <w:qFormat/>
    <w:uiPriority w:val="0"/>
    <w:pPr>
      <w:ind w:left="420"/>
      <w:jc w:val="left"/>
    </w:pPr>
    <w:rPr>
      <w:i/>
      <w:iCs/>
      <w:sz w:val="20"/>
      <w:szCs w:val="20"/>
    </w:rPr>
  </w:style>
  <w:style w:type="paragraph" w:styleId="11">
    <w:name w:val="Plain Text"/>
    <w:basedOn w:val="1"/>
    <w:qFormat/>
    <w:uiPriority w:val="0"/>
    <w:pPr>
      <w:adjustRightInd w:val="0"/>
      <w:spacing w:line="360" w:lineRule="atLeast"/>
    </w:pPr>
    <w:rPr>
      <w:rFonts w:ascii="宋体" w:hAnsi="Courier New"/>
      <w:szCs w:val="20"/>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semiHidden/>
    <w:qFormat/>
    <w:uiPriority w:val="0"/>
    <w:pPr>
      <w:spacing w:before="120" w:after="120"/>
      <w:jc w:val="left"/>
    </w:pPr>
    <w:rPr>
      <w:b/>
      <w:bCs/>
      <w:caps/>
      <w:sz w:val="20"/>
      <w:szCs w:val="20"/>
    </w:rPr>
  </w:style>
  <w:style w:type="paragraph" w:styleId="15">
    <w:name w:val="toc 2"/>
    <w:basedOn w:val="1"/>
    <w:next w:val="1"/>
    <w:semiHidden/>
    <w:qFormat/>
    <w:uiPriority w:val="0"/>
    <w:pPr>
      <w:tabs>
        <w:tab w:val="right" w:leader="dot" w:pos="8834"/>
      </w:tabs>
      <w:ind w:left="210" w:firstLine="150" w:firstLineChars="75"/>
      <w:jc w:val="left"/>
    </w:pPr>
    <w:rPr>
      <w:i/>
      <w:smallCaps/>
      <w:sz w:val="20"/>
      <w:szCs w:val="20"/>
    </w:rPr>
  </w:style>
  <w:style w:type="paragraph" w:styleId="16">
    <w:name w:val="Normal (Web)"/>
    <w:basedOn w:val="1"/>
    <w:qFormat/>
    <w:uiPriority w:val="99"/>
    <w:rPr>
      <w:sz w:val="24"/>
    </w:rPr>
  </w:style>
  <w:style w:type="character" w:styleId="18">
    <w:name w:val="Strong"/>
    <w:basedOn w:val="17"/>
    <w:qFormat/>
    <w:uiPriority w:val="0"/>
    <w:rPr>
      <w:b/>
      <w:bCs/>
    </w:rPr>
  </w:style>
  <w:style w:type="character" w:styleId="19">
    <w:name w:val="page number"/>
    <w:basedOn w:val="17"/>
    <w:qFormat/>
    <w:uiPriority w:val="0"/>
  </w:style>
  <w:style w:type="character" w:styleId="20">
    <w:name w:val="Hyperlink"/>
    <w:basedOn w:val="17"/>
    <w:qFormat/>
    <w:uiPriority w:val="0"/>
    <w:rPr>
      <w:color w:val="0000FF"/>
      <w:u w:val="single"/>
    </w:rPr>
  </w:style>
  <w:style w:type="table" w:styleId="22">
    <w:name w:val="Table Grid"/>
    <w:basedOn w:val="21"/>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paragraph" w:customStyle="1" w:styleId="23">
    <w:name w:val="正文缩进1"/>
    <w:basedOn w:val="1"/>
    <w:qFormat/>
    <w:uiPriority w:val="0"/>
    <w:pPr>
      <w:ind w:firstLine="420"/>
    </w:pPr>
    <w:rPr>
      <w:sz w:val="24"/>
      <w:szCs w:val="20"/>
    </w:rPr>
  </w:style>
  <w:style w:type="paragraph" w:customStyle="1" w:styleId="24">
    <w:name w:val="列出段落1"/>
    <w:basedOn w:val="1"/>
    <w:qFormat/>
    <w:uiPriority w:val="0"/>
    <w:pPr>
      <w:ind w:firstLine="420" w:firstLineChars="200"/>
    </w:pPr>
    <w:rPr>
      <w:szCs w:val="20"/>
    </w:rPr>
  </w:style>
  <w:style w:type="paragraph" w:customStyle="1" w:styleId="25">
    <w:name w:val="二级目录"/>
    <w:next w:val="1"/>
    <w:qFormat/>
    <w:uiPriority w:val="0"/>
    <w:pPr>
      <w:numPr>
        <w:ilvl w:val="0"/>
        <w:numId w:val="1"/>
      </w:numPr>
      <w:outlineLvl w:val="1"/>
    </w:pPr>
    <w:rPr>
      <w:rFonts w:ascii="Times New Roman" w:hAnsi="Times New Roman" w:eastAsia="宋体" w:cs="Times New Roman"/>
      <w:b/>
      <w:sz w:val="30"/>
      <w:szCs w:val="28"/>
      <w:lang w:val="en-US" w:eastAsia="zh-CN" w:bidi="ar-SA"/>
    </w:rPr>
  </w:style>
  <w:style w:type="character" w:customStyle="1" w:styleId="26">
    <w:name w:val="font41"/>
    <w:basedOn w:val="17"/>
    <w:qFormat/>
    <w:uiPriority w:val="0"/>
    <w:rPr>
      <w:rFonts w:hint="eastAsia" w:ascii="宋体" w:hAnsi="宋体" w:eastAsia="宋体" w:cs="宋体"/>
      <w:color w:val="000000"/>
      <w:sz w:val="20"/>
      <w:szCs w:val="20"/>
      <w:u w:val="none"/>
    </w:rPr>
  </w:style>
  <w:style w:type="character" w:customStyle="1" w:styleId="27">
    <w:name w:val="font31"/>
    <w:basedOn w:val="17"/>
    <w:qFormat/>
    <w:uiPriority w:val="0"/>
    <w:rPr>
      <w:rFonts w:hint="eastAsia" w:ascii="仿宋_GB2312" w:eastAsia="仿宋_GB2312" w:cs="仿宋_GB2312"/>
      <w:color w:val="000000"/>
      <w:sz w:val="24"/>
      <w:szCs w:val="24"/>
      <w:u w:val="none"/>
    </w:rPr>
  </w:style>
  <w:style w:type="character" w:customStyle="1" w:styleId="28">
    <w:name w:val="font11"/>
    <w:basedOn w:val="17"/>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Home</Company>
  <Pages>15</Pages>
  <Words>3894</Words>
  <Characters>4134</Characters>
  <Lines>37</Lines>
  <Paragraphs>10</Paragraphs>
  <TotalTime>0</TotalTime>
  <ScaleCrop>false</ScaleCrop>
  <LinksUpToDate>false</LinksUpToDate>
  <CharactersWithSpaces>4255</CharactersWithSpaces>
  <Application>WPS Office_10.8.0.6253_F1E327BC-269C-435d-A152-05C5408002CA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2019-10-17T17:44:00Z</dcterms:created>
  <dc:creator>王斌</dc:creator>
  <cp:lastModifiedBy>fjgy</cp:lastModifiedBy>
  <cp:lastPrinted>2024-08-13T09:25:00Z</cp:lastPrinted>
  <dcterms:modified xsi:type="dcterms:W3CDTF">2024-08-20T07:27:35Z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2052-10.8.0.6253</vt:lpwstr>
  </property>
  <property fmtid="{D5CDD505-2E9C-101B-9397-08002B2CF9AE}" pid="3" name="ICV">
    <vt:lpwstr>CF3C31D86AD74AE1AC3A6A6F5E487D4E</vt:lpwstr>
  </property>
</Properties>
</file>